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C06C" w14:textId="575409ED" w:rsidR="005B6E23" w:rsidRDefault="00447C2B" w:rsidP="005B6E23">
      <w:r>
        <w:rPr>
          <w:noProof/>
          <w:lang w:val="de-DE" w:eastAsia="ja-JP"/>
        </w:rPr>
        <mc:AlternateContent>
          <mc:Choice Requires="wps">
            <w:drawing>
              <wp:anchor distT="0" distB="0" distL="114300" distR="114300" simplePos="0" relativeHeight="251659264" behindDoc="0" locked="0" layoutInCell="1" allowOverlap="1" wp14:anchorId="28A12853" wp14:editId="219C7A16">
                <wp:simplePos x="0" y="0"/>
                <wp:positionH relativeFrom="column">
                  <wp:posOffset>-561975</wp:posOffset>
                </wp:positionH>
                <wp:positionV relativeFrom="paragraph">
                  <wp:posOffset>-590551</wp:posOffset>
                </wp:positionV>
                <wp:extent cx="4962525" cy="847725"/>
                <wp:effectExtent l="0" t="0" r="9525"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47725"/>
                        </a:xfrm>
                        <a:prstGeom prst="rect">
                          <a:avLst/>
                        </a:prstGeom>
                        <a:solidFill>
                          <a:srgbClr val="CCE1DA"/>
                        </a:solidFill>
                        <a:ln>
                          <a:noFill/>
                        </a:ln>
                        <a:extLst>
                          <a:ext uri="{91240B29-F687-4F45-9708-019B960494DF}">
                            <a14:hiddenLine xmlns:a14="http://schemas.microsoft.com/office/drawing/2010/main" w="12700">
                              <a:solidFill>
                                <a:srgbClr val="006747"/>
                              </a:solidFill>
                              <a:miter lim="800000"/>
                              <a:headEnd/>
                              <a:tailEnd/>
                            </a14:hiddenLine>
                          </a:ext>
                        </a:extLst>
                      </wps:spPr>
                      <wps:txbx>
                        <w:txbxContent>
                          <w:p w14:paraId="3DDDD64A" w14:textId="77777777" w:rsidR="008D0391" w:rsidRPr="0057606F" w:rsidRDefault="008D0391" w:rsidP="005B6E23">
                            <w:pPr>
                              <w:spacing w:line="200" w:lineRule="exact"/>
                              <w:rPr>
                                <w:b/>
                                <w:caps/>
                                <w:color w:val="006747"/>
                                <w:sz w:val="18"/>
                                <w:szCs w:val="18"/>
                                <w:lang w:val="it-IT"/>
                              </w:rPr>
                            </w:pPr>
                            <w:r w:rsidRPr="0057606F">
                              <w:rPr>
                                <w:b/>
                                <w:caps/>
                                <w:color w:val="006747"/>
                                <w:sz w:val="18"/>
                                <w:szCs w:val="18"/>
                                <w:lang w:val="it-IT"/>
                              </w:rPr>
                              <w:t>INFORMAZIONI CHIAVE PER GLI INVESTITORI</w:t>
                            </w:r>
                          </w:p>
                          <w:p w14:paraId="4A2053A4" w14:textId="02729CD1" w:rsidR="008D0391" w:rsidRPr="0057606F" w:rsidRDefault="008D0391" w:rsidP="005B6E23">
                            <w:pPr>
                              <w:spacing w:line="200" w:lineRule="exact"/>
                              <w:rPr>
                                <w:color w:val="006747"/>
                                <w:sz w:val="18"/>
                                <w:szCs w:val="18"/>
                                <w:lang w:val="it-IT"/>
                              </w:rPr>
                            </w:pPr>
                            <w:r w:rsidRPr="0057606F">
                              <w:rPr>
                                <w:color w:val="006747"/>
                                <w:sz w:val="18"/>
                                <w:szCs w:val="18"/>
                                <w:lang w:val="it-IT"/>
                              </w:rPr>
                              <w:t>Il presente documento contiene le informazioni chiave di cui gli investitori devono disporre in relazione a questo Fondo. Non si tratta di un documento promozionale. Le informazioni contenute nel presente documento, obbligatorie per legge, hanno lo scopo di aiutare a comprendere i rischi ad esso connessi. Si raccomanda di prenderne visione, in modo da operare una scelta informata in merito all’opportunità di investire.</w:t>
                            </w:r>
                          </w:p>
                          <w:p w14:paraId="29D0552E" w14:textId="77777777" w:rsidR="008D0391" w:rsidRPr="00544424" w:rsidRDefault="008D0391">
                            <w:pPr>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A12853" id="_x0000_t202" coordsize="21600,21600" o:spt="202" path="m,l,21600r21600,l21600,xe">
                <v:stroke joinstyle="miter"/>
                <v:path gradientshapeok="t" o:connecttype="rect"/>
              </v:shapetype>
              <v:shape id="Text Box 2" o:spid="_x0000_s1026" type="#_x0000_t202" style="position:absolute;left:0;text-align:left;margin-left:-44.25pt;margin-top:-46.5pt;width:390.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" fillcolor="#cce1da" stroked="f" strokecolor="#006747" strokeweight="1pt">
                <v:textbox>
                  <w:txbxContent>
                    <w:p w14:paraId="3DDDD64A" w14:textId="77777777" w:rsidR="008D0391" w:rsidRPr="0057606F" w:rsidRDefault="008D0391" w:rsidP="005B6E23">
                      <w:pPr>
                        <w:spacing w:line="200" w:lineRule="exact"/>
                        <w:rPr>
                          <w:b/>
                          <w:caps/>
                          <w:color w:val="006747"/>
                          <w:sz w:val="18"/>
                          <w:szCs w:val="18"/>
                          <w:lang w:val="it-IT"/>
                        </w:rPr>
                      </w:pPr>
                      <w:r w:rsidRPr="0057606F">
                        <w:rPr>
                          <w:b/>
                          <w:caps/>
                          <w:color w:val="006747"/>
                          <w:sz w:val="18"/>
                          <w:szCs w:val="18"/>
                          <w:lang w:val="it-IT"/>
                        </w:rPr>
                        <w:t>INFORMAZIONI CHIAVE PER GLI INVESTITORI</w:t>
                      </w:r>
                    </w:p>
                    <w:p w14:paraId="4A2053A4" w14:textId="02729CD1" w:rsidR="008D0391" w:rsidRPr="0057606F" w:rsidRDefault="008D0391" w:rsidP="005B6E23">
                      <w:pPr>
                        <w:spacing w:line="200" w:lineRule="exact"/>
                        <w:rPr>
                          <w:color w:val="006747"/>
                          <w:sz w:val="18"/>
                          <w:szCs w:val="18"/>
                          <w:lang w:val="it-IT"/>
                        </w:rPr>
                      </w:pPr>
                      <w:r w:rsidRPr="0057606F">
                        <w:rPr>
                          <w:color w:val="006747"/>
                          <w:sz w:val="18"/>
                          <w:szCs w:val="18"/>
                          <w:lang w:val="it-IT"/>
                        </w:rPr>
                        <w:t>Il presente documento contiene le informazioni chiave di cui gli investitori devono disporre in relazione a questo Fondo. Non si tratta di un documento promozionale. Le informazioni contenute nel presente documento, obbligatorie per legge, hanno lo scopo di aiutare a comprendere i rischi ad esso connessi. Si raccomanda di prenderne visione, in modo da operare una scelta informata in merito all’opportunità di investire.</w:t>
                      </w:r>
                    </w:p>
                    <w:p w14:paraId="29D0552E" w14:textId="77777777" w:rsidR="008D0391" w:rsidRPr="00544424" w:rsidRDefault="008D0391">
                      <w:pPr>
                        <w:rPr>
                          <w:lang w:val="it-IT"/>
                        </w:rPr>
                      </w:pPr>
                    </w:p>
                  </w:txbxContent>
                </v:textbox>
              </v:shape>
            </w:pict>
          </mc:Fallback>
        </mc:AlternateContent>
      </w:r>
      <w:r w:rsidR="00E7589F">
        <w:rPr>
          <w:noProof/>
          <w:lang w:val="de-DE" w:eastAsia="ja-JP"/>
        </w:rPr>
        <w:drawing>
          <wp:anchor distT="0" distB="0" distL="114300" distR="114300" simplePos="0" relativeHeight="251703296" behindDoc="0" locked="0" layoutInCell="1" allowOverlap="1" wp14:anchorId="773F256F" wp14:editId="4E0DB358">
            <wp:simplePos x="0" y="0"/>
            <wp:positionH relativeFrom="column">
              <wp:posOffset>4615132</wp:posOffset>
            </wp:positionH>
            <wp:positionV relativeFrom="paragraph">
              <wp:posOffset>-526211</wp:posOffset>
            </wp:positionV>
            <wp:extent cx="1521726" cy="715268"/>
            <wp:effectExtent l="0" t="0" r="254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1726" cy="715268"/>
                    </a:xfrm>
                    <a:prstGeom prst="rect">
                      <a:avLst/>
                    </a:prstGeom>
                  </pic:spPr>
                </pic:pic>
              </a:graphicData>
            </a:graphic>
            <wp14:sizeRelH relativeFrom="page">
              <wp14:pctWidth>0</wp14:pctWidth>
            </wp14:sizeRelH>
            <wp14:sizeRelV relativeFrom="page">
              <wp14:pctHeight>0</wp14:pctHeight>
            </wp14:sizeRelV>
          </wp:anchor>
        </w:drawing>
      </w:r>
    </w:p>
    <w:p w14:paraId="5535904C" w14:textId="6933E199" w:rsidR="005B6E23" w:rsidRDefault="008A3787">
      <w:r>
        <w:rPr>
          <w:noProof/>
          <w:lang w:val="de-DE" w:eastAsia="ja-JP"/>
        </w:rPr>
        <mc:AlternateContent>
          <mc:Choice Requires="wps">
            <w:drawing>
              <wp:anchor distT="0" distB="0" distL="114300" distR="114300" simplePos="0" relativeHeight="251662336" behindDoc="0" locked="0" layoutInCell="1" allowOverlap="1" wp14:anchorId="42E03D93" wp14:editId="7AC6ADF3">
                <wp:simplePos x="0" y="0"/>
                <wp:positionH relativeFrom="page">
                  <wp:posOffset>238125</wp:posOffset>
                </wp:positionH>
                <wp:positionV relativeFrom="paragraph">
                  <wp:posOffset>171451</wp:posOffset>
                </wp:positionV>
                <wp:extent cx="6965950" cy="1352550"/>
                <wp:effectExtent l="0" t="0" r="6350" b="0"/>
                <wp:wrapNone/>
                <wp:docPr id="2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1352550"/>
                        </a:xfrm>
                        <a:prstGeom prst="rect">
                          <a:avLst/>
                        </a:prstGeom>
                        <a:solidFill>
                          <a:srgbClr val="0067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76501" w14:textId="184E4A0B" w:rsidR="008D0391" w:rsidRPr="00CD389F" w:rsidRDefault="008D0391" w:rsidP="0057606F">
                            <w:pPr>
                              <w:autoSpaceDE w:val="0"/>
                              <w:autoSpaceDN w:val="0"/>
                              <w:adjustRightInd w:val="0"/>
                              <w:spacing w:after="80" w:line="240" w:lineRule="auto"/>
                              <w:rPr>
                                <w:rFonts w:cs="Arial"/>
                                <w:b/>
                                <w:bCs/>
                                <w:color w:val="FFFFFF"/>
                                <w:sz w:val="30"/>
                                <w:szCs w:val="30"/>
                                <w:lang w:val="en-US"/>
                              </w:rPr>
                            </w:pPr>
                            <w:r w:rsidRPr="00544424">
                              <w:rPr>
                                <w:rFonts w:cs="Arial"/>
                                <w:b/>
                                <w:bCs/>
                                <w:color w:val="FFFFFF"/>
                                <w:sz w:val="30"/>
                                <w:szCs w:val="30"/>
                                <w:lang w:val="it-IT"/>
                              </w:rPr>
                              <w:t>Salar Fund (</w:t>
                            </w:r>
                            <w:r w:rsidRPr="0057606F">
                              <w:rPr>
                                <w:rFonts w:cs="Arial"/>
                                <w:b/>
                                <w:bCs/>
                                <w:color w:val="FFFFFF"/>
                                <w:sz w:val="30"/>
                                <w:szCs w:val="30"/>
                                <w:lang w:val="it-IT"/>
                              </w:rPr>
                              <w:t>il Fondo) un comparto di CQS Funds (Ireland) plc (la Società). Il Gestore è KBA Consulting Management Limited (il Gestore).</w:t>
                            </w:r>
                          </w:p>
                          <w:tbl>
                            <w:tblPr>
                              <w:tblStyle w:val="TableGrid"/>
                              <w:tblW w:w="10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452"/>
                            </w:tblGrid>
                            <w:tr w:rsidR="008D0391" w14:paraId="55C73248" w14:textId="77777777" w:rsidTr="005D7124">
                              <w:trPr>
                                <w:trHeight w:val="345"/>
                                <w:jc w:val="center"/>
                              </w:trPr>
                              <w:tc>
                                <w:tcPr>
                                  <w:tcW w:w="5383" w:type="dxa"/>
                                </w:tcPr>
                                <w:p w14:paraId="2B664235" w14:textId="268DD1E7" w:rsidR="008D0391" w:rsidRPr="005D7124" w:rsidRDefault="008D0391" w:rsidP="00447C2B">
                                  <w:pPr>
                                    <w:spacing w:after="80" w:line="300" w:lineRule="exact"/>
                                    <w:rPr>
                                      <w:rFonts w:cs="Arial"/>
                                      <w:color w:val="FFFFFF"/>
                                      <w:sz w:val="24"/>
                                      <w:szCs w:val="25"/>
                                    </w:rPr>
                                  </w:pPr>
                                  <w:r w:rsidRPr="00447C2B">
                                    <w:rPr>
                                      <w:rFonts w:cs="Arial"/>
                                      <w:color w:val="FFFFFF"/>
                                      <w:szCs w:val="21"/>
                                    </w:rPr>
                                    <w:t>Class A1 Acc GBP (ad accumulo) (ISIN:IE00B2PLHD34)</w:t>
                                  </w:r>
                                </w:p>
                              </w:tc>
                              <w:tc>
                                <w:tcPr>
                                  <w:tcW w:w="5452" w:type="dxa"/>
                                </w:tcPr>
                                <w:p w14:paraId="0D06B7D6" w14:textId="37AC49C4" w:rsidR="008D0391" w:rsidRPr="00447C2B" w:rsidRDefault="008D0391" w:rsidP="008A3787">
                                  <w:pPr>
                                    <w:spacing w:after="80" w:line="300" w:lineRule="exact"/>
                                    <w:rPr>
                                      <w:rFonts w:cs="Arial"/>
                                      <w:color w:val="FFFFFF"/>
                                    </w:rPr>
                                  </w:pPr>
                                  <w:r w:rsidRPr="00447C2B">
                                    <w:rPr>
                                      <w:rFonts w:cs="Arial"/>
                                      <w:color w:val="FFFFFF"/>
                                    </w:rPr>
                                    <w:t>Class A1 Acc USD (ad accumulo)  (ISIN:IE00B2PLHH71)</w:t>
                                  </w:r>
                                </w:p>
                              </w:tc>
                            </w:tr>
                            <w:tr w:rsidR="008D0391" w:rsidRPr="00447C2B" w14:paraId="250F892C" w14:textId="77777777" w:rsidTr="005D7124">
                              <w:trPr>
                                <w:trHeight w:val="345"/>
                                <w:jc w:val="center"/>
                              </w:trPr>
                              <w:tc>
                                <w:tcPr>
                                  <w:tcW w:w="5383" w:type="dxa"/>
                                </w:tcPr>
                                <w:p w14:paraId="7F65084C" w14:textId="1FDABAEC" w:rsidR="008D0391" w:rsidRPr="00447C2B" w:rsidRDefault="008D0391" w:rsidP="00447C2B">
                                  <w:pPr>
                                    <w:spacing w:after="80" w:line="300" w:lineRule="exact"/>
                                    <w:jc w:val="left"/>
                                    <w:rPr>
                                      <w:rFonts w:cs="Arial"/>
                                      <w:color w:val="FFFFFF"/>
                                    </w:rPr>
                                  </w:pPr>
                                  <w:r w:rsidRPr="00447C2B">
                                    <w:rPr>
                                      <w:rFonts w:cs="Arial"/>
                                      <w:color w:val="FFFFFF"/>
                                    </w:rPr>
                                    <w:t>Class A1 Acc EUR (ad accumulo) (ISIN:IE00B2PLHB10)</w:t>
                                  </w:r>
                                </w:p>
                              </w:tc>
                              <w:tc>
                                <w:tcPr>
                                  <w:tcW w:w="5452" w:type="dxa"/>
                                </w:tcPr>
                                <w:p w14:paraId="61FC3F26" w14:textId="77777777" w:rsidR="008D0391" w:rsidRPr="00447C2B" w:rsidRDefault="008D0391" w:rsidP="005D031A">
                                  <w:pPr>
                                    <w:spacing w:after="80" w:line="300" w:lineRule="exact"/>
                                    <w:jc w:val="center"/>
                                    <w:rPr>
                                      <w:rFonts w:cs="Arial"/>
                                      <w:color w:val="FFFFFF"/>
                                    </w:rPr>
                                  </w:pPr>
                                </w:p>
                              </w:tc>
                            </w:tr>
                            <w:tr w:rsidR="008D0391" w:rsidRPr="00447C2B" w14:paraId="4C9AD778" w14:textId="77777777" w:rsidTr="005D7124">
                              <w:trPr>
                                <w:trHeight w:val="345"/>
                                <w:jc w:val="center"/>
                              </w:trPr>
                              <w:tc>
                                <w:tcPr>
                                  <w:tcW w:w="5383" w:type="dxa"/>
                                </w:tcPr>
                                <w:p w14:paraId="6397BEF3" w14:textId="77777777" w:rsidR="008D0391" w:rsidRPr="00447C2B" w:rsidRDefault="008D0391" w:rsidP="00AE6FDF">
                                  <w:pPr>
                                    <w:spacing w:after="80" w:line="300" w:lineRule="exact"/>
                                    <w:jc w:val="center"/>
                                    <w:rPr>
                                      <w:rFonts w:cs="Arial"/>
                                      <w:color w:val="FFFFFF"/>
                                    </w:rPr>
                                  </w:pPr>
                                </w:p>
                              </w:tc>
                              <w:tc>
                                <w:tcPr>
                                  <w:tcW w:w="5452" w:type="dxa"/>
                                </w:tcPr>
                                <w:p w14:paraId="4F856C5C" w14:textId="77777777" w:rsidR="008D0391" w:rsidRPr="00447C2B" w:rsidRDefault="008D0391" w:rsidP="005D031A">
                                  <w:pPr>
                                    <w:spacing w:after="80" w:line="300" w:lineRule="exact"/>
                                    <w:jc w:val="center"/>
                                    <w:rPr>
                                      <w:rFonts w:cs="Arial"/>
                                      <w:color w:val="FFFFFF"/>
                                    </w:rPr>
                                  </w:pPr>
                                </w:p>
                              </w:tc>
                            </w:tr>
                            <w:tr w:rsidR="008D0391" w:rsidRPr="00447C2B" w14:paraId="24D85AE6" w14:textId="77777777" w:rsidTr="005D7124">
                              <w:trPr>
                                <w:trHeight w:val="345"/>
                                <w:jc w:val="center"/>
                              </w:trPr>
                              <w:tc>
                                <w:tcPr>
                                  <w:tcW w:w="5383" w:type="dxa"/>
                                </w:tcPr>
                                <w:p w14:paraId="6B48EC76" w14:textId="77777777" w:rsidR="008D0391" w:rsidRPr="00447C2B" w:rsidRDefault="008D0391" w:rsidP="00AE6FDF">
                                  <w:pPr>
                                    <w:spacing w:after="80" w:line="300" w:lineRule="exact"/>
                                    <w:jc w:val="center"/>
                                    <w:rPr>
                                      <w:rFonts w:cs="Arial"/>
                                      <w:color w:val="FFFFFF"/>
                                    </w:rPr>
                                  </w:pPr>
                                </w:p>
                              </w:tc>
                              <w:tc>
                                <w:tcPr>
                                  <w:tcW w:w="5452" w:type="dxa"/>
                                </w:tcPr>
                                <w:p w14:paraId="67A44AD9" w14:textId="77777777" w:rsidR="008D0391" w:rsidRPr="00447C2B" w:rsidRDefault="008D0391" w:rsidP="005D031A">
                                  <w:pPr>
                                    <w:spacing w:after="80" w:line="300" w:lineRule="exact"/>
                                    <w:jc w:val="center"/>
                                    <w:rPr>
                                      <w:rFonts w:cs="Arial"/>
                                      <w:color w:val="FFFFFF"/>
                                    </w:rPr>
                                  </w:pPr>
                                </w:p>
                              </w:tc>
                            </w:tr>
                          </w:tbl>
                          <w:p w14:paraId="0F84013F" w14:textId="77777777" w:rsidR="008D0391" w:rsidRPr="00447C2B" w:rsidRDefault="008D0391" w:rsidP="002C6136">
                            <w:pPr>
                              <w:widowControl/>
                              <w:autoSpaceDE w:val="0"/>
                              <w:autoSpaceDN w:val="0"/>
                              <w:adjustRightInd w:val="0"/>
                              <w:spacing w:line="240" w:lineRule="auto"/>
                              <w:jc w:val="left"/>
                              <w:rPr>
                                <w:rFonts w:cs="Arial"/>
                                <w:color w:val="FFFFFF"/>
                              </w:rPr>
                            </w:pPr>
                          </w:p>
                        </w:txbxContent>
                      </wps:txbx>
                      <wps:bodyPr rot="0" vert="horz" wrap="square" lIns="126000" tIns="118800" rIns="12600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03D93" id="_x0000_t202" coordsize="21600,21600" o:spt="202" path="m,l,21600r21600,l21600,xe">
                <v:stroke joinstyle="miter"/>
                <v:path gradientshapeok="t" o:connecttype="rect"/>
              </v:shapetype>
              <v:shape id="Text Box 96" o:spid="_x0000_s1027" type="#_x0000_t202" style="position:absolute;left:0;text-align:left;margin-left:18.75pt;margin-top:13.5pt;width:548.5pt;height:10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" fillcolor="#006747" stroked="f">
                <v:textbox inset="3.5mm,3.3mm,3.5mm,3.3mm">
                  <w:txbxContent>
                    <w:p w14:paraId="6F176501" w14:textId="184E4A0B" w:rsidR="008D0391" w:rsidRPr="00CD389F" w:rsidRDefault="008D0391" w:rsidP="0057606F">
                      <w:pPr>
                        <w:autoSpaceDE w:val="0"/>
                        <w:autoSpaceDN w:val="0"/>
                        <w:adjustRightInd w:val="0"/>
                        <w:spacing w:after="80" w:line="240" w:lineRule="auto"/>
                        <w:rPr>
                          <w:rFonts w:cs="Arial"/>
                          <w:b/>
                          <w:bCs/>
                          <w:color w:val="FFFFFF"/>
                          <w:sz w:val="30"/>
                          <w:szCs w:val="30"/>
                          <w:lang w:val="en-US"/>
                        </w:rPr>
                      </w:pPr>
                      <w:r w:rsidRPr="00544424">
                        <w:rPr>
                          <w:rFonts w:cs="Arial"/>
                          <w:b/>
                          <w:bCs/>
                          <w:color w:val="FFFFFF"/>
                          <w:sz w:val="30"/>
                          <w:szCs w:val="30"/>
                          <w:lang w:val="it-IT"/>
                        </w:rPr>
                        <w:t>Salar Fund (</w:t>
                      </w:r>
                      <w:r w:rsidRPr="0057606F">
                        <w:rPr>
                          <w:rFonts w:cs="Arial"/>
                          <w:b/>
                          <w:bCs/>
                          <w:color w:val="FFFFFF"/>
                          <w:sz w:val="30"/>
                          <w:szCs w:val="30"/>
                          <w:lang w:val="it-IT"/>
                        </w:rPr>
                        <w:t>il Fondo) un comparto di CQS Funds (Ireland) plc (la Società). Il Gestore è KBA Consulting Management Limited (il Gestore).</w:t>
                      </w:r>
                    </w:p>
                    <w:tbl>
                      <w:tblPr>
                        <w:tblStyle w:val="TableGrid"/>
                        <w:tblW w:w="10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452"/>
                      </w:tblGrid>
                      <w:tr w:rsidR="008D0391" w14:paraId="55C73248" w14:textId="77777777" w:rsidTr="005D7124">
                        <w:trPr>
                          <w:trHeight w:val="345"/>
                          <w:jc w:val="center"/>
                        </w:trPr>
                        <w:tc>
                          <w:tcPr>
                            <w:tcW w:w="5383" w:type="dxa"/>
                          </w:tcPr>
                          <w:p w14:paraId="2B664235" w14:textId="268DD1E7" w:rsidR="008D0391" w:rsidRPr="005D7124" w:rsidRDefault="008D0391" w:rsidP="00447C2B">
                            <w:pPr>
                              <w:spacing w:after="80" w:line="300" w:lineRule="exact"/>
                              <w:rPr>
                                <w:rFonts w:cs="Arial"/>
                                <w:color w:val="FFFFFF"/>
                                <w:sz w:val="24"/>
                                <w:szCs w:val="25"/>
                              </w:rPr>
                            </w:pPr>
                            <w:r w:rsidRPr="00447C2B">
                              <w:rPr>
                                <w:rFonts w:cs="Arial"/>
                                <w:color w:val="FFFFFF"/>
                                <w:szCs w:val="21"/>
                              </w:rPr>
                              <w:t>Class A1 Acc GBP (ad accumulo) (ISIN:IE00B2PLHD34)</w:t>
                            </w:r>
                          </w:p>
                        </w:tc>
                        <w:tc>
                          <w:tcPr>
                            <w:tcW w:w="5452" w:type="dxa"/>
                          </w:tcPr>
                          <w:p w14:paraId="0D06B7D6" w14:textId="37AC49C4" w:rsidR="008D0391" w:rsidRPr="00447C2B" w:rsidRDefault="008D0391" w:rsidP="008A3787">
                            <w:pPr>
                              <w:spacing w:after="80" w:line="300" w:lineRule="exact"/>
                              <w:rPr>
                                <w:rFonts w:cs="Arial"/>
                                <w:color w:val="FFFFFF"/>
                              </w:rPr>
                            </w:pPr>
                            <w:r w:rsidRPr="00447C2B">
                              <w:rPr>
                                <w:rFonts w:cs="Arial"/>
                                <w:color w:val="FFFFFF"/>
                              </w:rPr>
                              <w:t>Class A1 Acc USD (ad accumulo)  (ISIN:IE00B2PLHH71)</w:t>
                            </w:r>
                          </w:p>
                        </w:tc>
                      </w:tr>
                      <w:tr w:rsidR="008D0391" w:rsidRPr="00447C2B" w14:paraId="250F892C" w14:textId="77777777" w:rsidTr="005D7124">
                        <w:trPr>
                          <w:trHeight w:val="345"/>
                          <w:jc w:val="center"/>
                        </w:trPr>
                        <w:tc>
                          <w:tcPr>
                            <w:tcW w:w="5383" w:type="dxa"/>
                          </w:tcPr>
                          <w:p w14:paraId="7F65084C" w14:textId="1FDABAEC" w:rsidR="008D0391" w:rsidRPr="00447C2B" w:rsidRDefault="008D0391" w:rsidP="00447C2B">
                            <w:pPr>
                              <w:spacing w:after="80" w:line="300" w:lineRule="exact"/>
                              <w:jc w:val="left"/>
                              <w:rPr>
                                <w:rFonts w:cs="Arial"/>
                                <w:color w:val="FFFFFF"/>
                              </w:rPr>
                            </w:pPr>
                            <w:r w:rsidRPr="00447C2B">
                              <w:rPr>
                                <w:rFonts w:cs="Arial"/>
                                <w:color w:val="FFFFFF"/>
                              </w:rPr>
                              <w:t>Class A1 Acc EUR (ad accumulo) (ISIN:IE00B2PLHB10)</w:t>
                            </w:r>
                          </w:p>
                        </w:tc>
                        <w:tc>
                          <w:tcPr>
                            <w:tcW w:w="5452" w:type="dxa"/>
                          </w:tcPr>
                          <w:p w14:paraId="61FC3F26" w14:textId="77777777" w:rsidR="008D0391" w:rsidRPr="00447C2B" w:rsidRDefault="008D0391" w:rsidP="005D031A">
                            <w:pPr>
                              <w:spacing w:after="80" w:line="300" w:lineRule="exact"/>
                              <w:jc w:val="center"/>
                              <w:rPr>
                                <w:rFonts w:cs="Arial"/>
                                <w:color w:val="FFFFFF"/>
                              </w:rPr>
                            </w:pPr>
                          </w:p>
                        </w:tc>
                      </w:tr>
                      <w:tr w:rsidR="008D0391" w:rsidRPr="00447C2B" w14:paraId="4C9AD778" w14:textId="77777777" w:rsidTr="005D7124">
                        <w:trPr>
                          <w:trHeight w:val="345"/>
                          <w:jc w:val="center"/>
                        </w:trPr>
                        <w:tc>
                          <w:tcPr>
                            <w:tcW w:w="5383" w:type="dxa"/>
                          </w:tcPr>
                          <w:p w14:paraId="6397BEF3" w14:textId="77777777" w:rsidR="008D0391" w:rsidRPr="00447C2B" w:rsidRDefault="008D0391" w:rsidP="00AE6FDF">
                            <w:pPr>
                              <w:spacing w:after="80" w:line="300" w:lineRule="exact"/>
                              <w:jc w:val="center"/>
                              <w:rPr>
                                <w:rFonts w:cs="Arial"/>
                                <w:color w:val="FFFFFF"/>
                              </w:rPr>
                            </w:pPr>
                          </w:p>
                        </w:tc>
                        <w:tc>
                          <w:tcPr>
                            <w:tcW w:w="5452" w:type="dxa"/>
                          </w:tcPr>
                          <w:p w14:paraId="4F856C5C" w14:textId="77777777" w:rsidR="008D0391" w:rsidRPr="00447C2B" w:rsidRDefault="008D0391" w:rsidP="005D031A">
                            <w:pPr>
                              <w:spacing w:after="80" w:line="300" w:lineRule="exact"/>
                              <w:jc w:val="center"/>
                              <w:rPr>
                                <w:rFonts w:cs="Arial"/>
                                <w:color w:val="FFFFFF"/>
                              </w:rPr>
                            </w:pPr>
                          </w:p>
                        </w:tc>
                      </w:tr>
                      <w:tr w:rsidR="008D0391" w:rsidRPr="00447C2B" w14:paraId="24D85AE6" w14:textId="77777777" w:rsidTr="005D7124">
                        <w:trPr>
                          <w:trHeight w:val="345"/>
                          <w:jc w:val="center"/>
                        </w:trPr>
                        <w:tc>
                          <w:tcPr>
                            <w:tcW w:w="5383" w:type="dxa"/>
                          </w:tcPr>
                          <w:p w14:paraId="6B48EC76" w14:textId="77777777" w:rsidR="008D0391" w:rsidRPr="00447C2B" w:rsidRDefault="008D0391" w:rsidP="00AE6FDF">
                            <w:pPr>
                              <w:spacing w:after="80" w:line="300" w:lineRule="exact"/>
                              <w:jc w:val="center"/>
                              <w:rPr>
                                <w:rFonts w:cs="Arial"/>
                                <w:color w:val="FFFFFF"/>
                              </w:rPr>
                            </w:pPr>
                          </w:p>
                        </w:tc>
                        <w:tc>
                          <w:tcPr>
                            <w:tcW w:w="5452" w:type="dxa"/>
                          </w:tcPr>
                          <w:p w14:paraId="67A44AD9" w14:textId="77777777" w:rsidR="008D0391" w:rsidRPr="00447C2B" w:rsidRDefault="008D0391" w:rsidP="005D031A">
                            <w:pPr>
                              <w:spacing w:after="80" w:line="300" w:lineRule="exact"/>
                              <w:jc w:val="center"/>
                              <w:rPr>
                                <w:rFonts w:cs="Arial"/>
                                <w:color w:val="FFFFFF"/>
                              </w:rPr>
                            </w:pPr>
                          </w:p>
                        </w:tc>
                      </w:tr>
                    </w:tbl>
                    <w:p w14:paraId="0F84013F" w14:textId="77777777" w:rsidR="008D0391" w:rsidRPr="00447C2B" w:rsidRDefault="008D0391" w:rsidP="002C6136">
                      <w:pPr>
                        <w:widowControl/>
                        <w:autoSpaceDE w:val="0"/>
                        <w:autoSpaceDN w:val="0"/>
                        <w:adjustRightInd w:val="0"/>
                        <w:spacing w:line="240" w:lineRule="auto"/>
                        <w:jc w:val="left"/>
                        <w:rPr>
                          <w:rFonts w:cs="Arial"/>
                          <w:color w:val="FFFFFF"/>
                        </w:rPr>
                      </w:pPr>
                    </w:p>
                  </w:txbxContent>
                </v:textbox>
                <w10:wrap anchorx="page"/>
              </v:shape>
            </w:pict>
          </mc:Fallback>
        </mc:AlternateContent>
      </w:r>
      <w:r>
        <w:rPr>
          <w:noProof/>
          <w:color w:val="000000"/>
          <w:lang w:val="de-DE" w:eastAsia="ja-JP"/>
        </w:rPr>
        <mc:AlternateContent>
          <mc:Choice Requires="wps">
            <w:drawing>
              <wp:anchor distT="0" distB="0" distL="114300" distR="114300" simplePos="0" relativeHeight="251661312" behindDoc="0" locked="0" layoutInCell="1" allowOverlap="1" wp14:anchorId="34CD893F" wp14:editId="0662A9BD">
                <wp:simplePos x="0" y="0"/>
                <wp:positionH relativeFrom="page">
                  <wp:align>left</wp:align>
                </wp:positionH>
                <wp:positionV relativeFrom="paragraph">
                  <wp:posOffset>137795</wp:posOffset>
                </wp:positionV>
                <wp:extent cx="96641285" cy="8255"/>
                <wp:effectExtent l="0" t="0" r="37465" b="29845"/>
                <wp:wrapNone/>
                <wp:docPr id="2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1285" cy="8255"/>
                        </a:xfrm>
                        <a:prstGeom prst="straightConnector1">
                          <a:avLst/>
                        </a:prstGeom>
                        <a:noFill/>
                        <a:ln w="25400">
                          <a:solidFill>
                            <a:srgbClr val="0067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47AF98" id="_x0000_t32" coordsize="21600,21600" o:spt="32" o:oned="t" path="m,l21600,21600e" filled="f">
                <v:path arrowok="t" fillok="f" o:connecttype="none"/>
                <o:lock v:ext="edit" shapetype="t"/>
              </v:shapetype>
              <v:shape id="AutoShape 94" o:spid="_x0000_s1026" type="#_x0000_t32" style="position:absolute;margin-left:0;margin-top:10.85pt;width:7609.55pt;height:.6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" strokecolor="#006747" strokeweight="2pt">
                <w10:wrap anchorx="page"/>
              </v:shape>
            </w:pict>
          </mc:Fallback>
        </mc:AlternateContent>
      </w:r>
    </w:p>
    <w:p w14:paraId="02ED85A9" w14:textId="24DCACD1" w:rsidR="005B6E23" w:rsidRDefault="006474E6">
      <w:pPr>
        <w:widowControl/>
        <w:spacing w:after="160" w:line="259" w:lineRule="auto"/>
        <w:jc w:val="left"/>
      </w:pPr>
      <w:r>
        <w:rPr>
          <w:noProof/>
          <w:lang w:val="de-DE" w:eastAsia="ja-JP"/>
        </w:rPr>
        <mc:AlternateContent>
          <mc:Choice Requires="wps">
            <w:drawing>
              <wp:anchor distT="0" distB="0" distL="114300" distR="114300" simplePos="0" relativeHeight="251664384" behindDoc="0" locked="0" layoutInCell="1" allowOverlap="1" wp14:anchorId="2B2EE4E4" wp14:editId="304309BE">
                <wp:simplePos x="0" y="0"/>
                <wp:positionH relativeFrom="column">
                  <wp:posOffset>-666750</wp:posOffset>
                </wp:positionH>
                <wp:positionV relativeFrom="paragraph">
                  <wp:posOffset>1533525</wp:posOffset>
                </wp:positionV>
                <wp:extent cx="3437255" cy="2657475"/>
                <wp:effectExtent l="0" t="0" r="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265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CCCC5" w14:textId="521DA2F7" w:rsidR="008D0391" w:rsidRPr="00447C2B" w:rsidRDefault="008D0391" w:rsidP="00447C2B">
                            <w:pPr>
                              <w:pStyle w:val="KIIDtext1"/>
                              <w:spacing w:after="80" w:line="210" w:lineRule="exact"/>
                              <w:rPr>
                                <w:sz w:val="17"/>
                                <w:lang w:val="it-IT"/>
                              </w:rPr>
                            </w:pPr>
                            <w:r w:rsidRPr="00447C2B">
                              <w:rPr>
                                <w:sz w:val="17"/>
                                <w:lang w:val="it-IT"/>
                              </w:rPr>
                              <w:t>Il Fondo si prefigge di generare rendimenti positivi e a preservare il capitale principalmente acquistando strumenti di debito che offrano un rendimento ma anche il potenziale di conversione in azioni (obbligazioni convertibili). Il Fondo è a gestione attiva e non è gestito con riferimento a un benchmark.</w:t>
                            </w:r>
                          </w:p>
                          <w:p w14:paraId="21988EBD" w14:textId="727A2AAC" w:rsidR="008D0391" w:rsidRPr="00447C2B" w:rsidRDefault="008D0391" w:rsidP="00447C2B">
                            <w:pPr>
                              <w:pStyle w:val="KIIDtext1"/>
                              <w:spacing w:after="80" w:line="210" w:lineRule="exact"/>
                              <w:rPr>
                                <w:sz w:val="17"/>
                                <w:lang w:val="it-IT"/>
                              </w:rPr>
                            </w:pPr>
                            <w:r w:rsidRPr="00447C2B">
                              <w:rPr>
                                <w:sz w:val="17"/>
                                <w:lang w:val="it-IT"/>
                              </w:rPr>
                              <w:t xml:space="preserve">Il Fondo si prefigge did ottenere un rendimento superiore </w:t>
                            </w:r>
                            <w:r w:rsidRPr="00571D88">
                              <w:rPr>
                                <w:sz w:val="17"/>
                                <w:lang w:val="it-IT"/>
                              </w:rPr>
                              <w:t>al SONIA.</w:t>
                            </w:r>
                          </w:p>
                          <w:p w14:paraId="74A8B516" w14:textId="6EC87F3C" w:rsidR="008D0391" w:rsidRPr="00447C2B" w:rsidRDefault="008D0391" w:rsidP="00447C2B">
                            <w:pPr>
                              <w:pStyle w:val="KIIDtext1"/>
                              <w:spacing w:after="80" w:line="210" w:lineRule="exact"/>
                              <w:rPr>
                                <w:sz w:val="17"/>
                                <w:lang w:val="it-IT"/>
                              </w:rPr>
                            </w:pPr>
                            <w:r w:rsidRPr="00447C2B">
                              <w:rPr>
                                <w:sz w:val="17"/>
                                <w:lang w:val="it-IT"/>
                              </w:rPr>
                              <w:t xml:space="preserve">Il Fondo ha un orientamento globale. Il Fondo investe in obbligazioni emesse da emittenti corporate o governative con Investment Grade o non-Investment Grade in mercati sviluppati ed emergenti.  </w:t>
                            </w:r>
                          </w:p>
                          <w:p w14:paraId="10F3AC94" w14:textId="31D80ABD" w:rsidR="008D0391" w:rsidRPr="00447C2B" w:rsidRDefault="008D0391" w:rsidP="00447C2B">
                            <w:pPr>
                              <w:pStyle w:val="KIIDtext1"/>
                              <w:spacing w:after="80" w:line="210" w:lineRule="exact"/>
                              <w:rPr>
                                <w:sz w:val="17"/>
                                <w:lang w:val="it-IT"/>
                              </w:rPr>
                            </w:pPr>
                            <w:r w:rsidRPr="00447C2B">
                              <w:rPr>
                                <w:sz w:val="17"/>
                                <w:lang w:val="it-IT"/>
                              </w:rPr>
                              <w:t xml:space="preserve">Il Fondo investe principalmente in obbligazioni convertibili scambiabili a un valore prossimo al loro valore a tasso fisso. Queste obbligazioni convertibili sono meno sensibili alle variazioni del prezzo delle azioni e hanno più il profilo di rischio delle obbligazioni, e offrono una protezione in caso di calo dei prezzi delle azioni. In caso di aumento dei prezzi delle azioni, possono comunque partecipare all’aumento poiché diventano sempre più simili all’azionario. </w:t>
                            </w:r>
                          </w:p>
                          <w:p w14:paraId="6F306050" w14:textId="77777777" w:rsidR="008D0391" w:rsidRPr="00544424" w:rsidRDefault="008D0391" w:rsidP="00447C2B">
                            <w:pPr>
                              <w:pStyle w:val="KIIDtext1"/>
                              <w:spacing w:line="210" w:lineRule="exact"/>
                              <w:rPr>
                                <w:sz w:val="17"/>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EE4E4" id="_x0000_s1028" type="#_x0000_t202" style="position:absolute;margin-left:-52.5pt;margin-top:120.75pt;width:270.65pt;height:20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" stroked="f">
                <v:textbox>
                  <w:txbxContent>
                    <w:p w14:paraId="518CCCC5" w14:textId="521DA2F7" w:rsidR="008D0391" w:rsidRPr="00447C2B" w:rsidRDefault="008D0391" w:rsidP="00447C2B">
                      <w:pPr>
                        <w:pStyle w:val="KIIDtext1"/>
                        <w:spacing w:after="80" w:line="210" w:lineRule="exact"/>
                        <w:rPr>
                          <w:sz w:val="17"/>
                          <w:lang w:val="it-IT"/>
                        </w:rPr>
                      </w:pPr>
                      <w:r w:rsidRPr="00447C2B">
                        <w:rPr>
                          <w:sz w:val="17"/>
                          <w:lang w:val="it-IT"/>
                        </w:rPr>
                        <w:t>Il Fondo si prefigge di generare rendimenti positivi e a preservare il capitale principalmente acquistando strumenti di debito che offrano un rendimento ma anche il potenziale di conversione in azioni (obbligazioni convertibili). Il Fondo è a gestione attiva e non è gestito con riferimento a un benchmark.</w:t>
                      </w:r>
                    </w:p>
                    <w:p w14:paraId="21988EBD" w14:textId="727A2AAC" w:rsidR="008D0391" w:rsidRPr="00447C2B" w:rsidRDefault="008D0391" w:rsidP="00447C2B">
                      <w:pPr>
                        <w:pStyle w:val="KIIDtext1"/>
                        <w:spacing w:after="80" w:line="210" w:lineRule="exact"/>
                        <w:rPr>
                          <w:sz w:val="17"/>
                          <w:lang w:val="it-IT"/>
                        </w:rPr>
                      </w:pPr>
                      <w:r w:rsidRPr="00447C2B">
                        <w:rPr>
                          <w:sz w:val="17"/>
                          <w:lang w:val="it-IT"/>
                        </w:rPr>
                        <w:t xml:space="preserve">Il Fondo si prefigge did ottenere un rendimento superiore </w:t>
                      </w:r>
                      <w:r w:rsidRPr="00571D88">
                        <w:rPr>
                          <w:sz w:val="17"/>
                          <w:lang w:val="it-IT"/>
                        </w:rPr>
                        <w:t>al SONIA.</w:t>
                      </w:r>
                    </w:p>
                    <w:p w14:paraId="74A8B516" w14:textId="6EC87F3C" w:rsidR="008D0391" w:rsidRPr="00447C2B" w:rsidRDefault="008D0391" w:rsidP="00447C2B">
                      <w:pPr>
                        <w:pStyle w:val="KIIDtext1"/>
                        <w:spacing w:after="80" w:line="210" w:lineRule="exact"/>
                        <w:rPr>
                          <w:sz w:val="17"/>
                          <w:lang w:val="it-IT"/>
                        </w:rPr>
                      </w:pPr>
                      <w:r w:rsidRPr="00447C2B">
                        <w:rPr>
                          <w:sz w:val="17"/>
                          <w:lang w:val="it-IT"/>
                        </w:rPr>
                        <w:t>Il Fondo ha un orientamento globale. Il Fondo investe in obbligazioni emesse da emittenti corporate o governative con Investment G</w:t>
                      </w:r>
                      <w:bookmarkStart w:id="1" w:name="_GoBack"/>
                      <w:bookmarkEnd w:id="1"/>
                      <w:r w:rsidRPr="00447C2B">
                        <w:rPr>
                          <w:sz w:val="17"/>
                          <w:lang w:val="it-IT"/>
                        </w:rPr>
                        <w:t xml:space="preserve">rade o non-Investment Grade in mercati sviluppati ed emergenti.  </w:t>
                      </w:r>
                    </w:p>
                    <w:p w14:paraId="10F3AC94" w14:textId="31D80ABD" w:rsidR="008D0391" w:rsidRPr="00447C2B" w:rsidRDefault="008D0391" w:rsidP="00447C2B">
                      <w:pPr>
                        <w:pStyle w:val="KIIDtext1"/>
                        <w:spacing w:after="80" w:line="210" w:lineRule="exact"/>
                        <w:rPr>
                          <w:sz w:val="17"/>
                          <w:lang w:val="it-IT"/>
                        </w:rPr>
                      </w:pPr>
                      <w:r w:rsidRPr="00447C2B">
                        <w:rPr>
                          <w:sz w:val="17"/>
                          <w:lang w:val="it-IT"/>
                        </w:rPr>
                        <w:t xml:space="preserve">Il Fondo investe principalmente in obbligazioni convertibili scambiabili a un valore prossimo al loro valore a tasso fisso. Queste obbligazioni convertibili sono meno sensibili alle variazioni del prezzo delle azioni e hanno più il profilo di rischio delle obbligazioni, e offrono una protezione in caso di calo dei prezzi delle azioni. In caso di aumento dei prezzi delle azioni, possono comunque partecipare all’aumento poiché diventano sempre più simili all’azionario. </w:t>
                      </w:r>
                    </w:p>
                    <w:p w14:paraId="6F306050" w14:textId="77777777" w:rsidR="008D0391" w:rsidRPr="00544424" w:rsidRDefault="008D0391" w:rsidP="00447C2B">
                      <w:pPr>
                        <w:pStyle w:val="KIIDtext1"/>
                        <w:spacing w:line="210" w:lineRule="exact"/>
                        <w:rPr>
                          <w:sz w:val="17"/>
                          <w:lang w:val="it-IT"/>
                        </w:rPr>
                      </w:pPr>
                    </w:p>
                  </w:txbxContent>
                </v:textbox>
              </v:shape>
            </w:pict>
          </mc:Fallback>
        </mc:AlternateContent>
      </w:r>
      <w:r>
        <w:rPr>
          <w:noProof/>
          <w:lang w:val="de-DE" w:eastAsia="ja-JP"/>
        </w:rPr>
        <mc:AlternateContent>
          <mc:Choice Requires="wps">
            <w:drawing>
              <wp:anchor distT="0" distB="0" distL="114300" distR="114300" simplePos="0" relativeHeight="251665408" behindDoc="0" locked="0" layoutInCell="1" allowOverlap="1" wp14:anchorId="09804B6A" wp14:editId="5075CC5B">
                <wp:simplePos x="0" y="0"/>
                <wp:positionH relativeFrom="column">
                  <wp:posOffset>2676525</wp:posOffset>
                </wp:positionH>
                <wp:positionV relativeFrom="paragraph">
                  <wp:posOffset>1381125</wp:posOffset>
                </wp:positionV>
                <wp:extent cx="3650615" cy="2771775"/>
                <wp:effectExtent l="0" t="0" r="698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1DBBE" w14:textId="73F19B2A" w:rsidR="008D0391" w:rsidRPr="00571D88" w:rsidRDefault="008D0391" w:rsidP="00CD7EA5">
                            <w:pPr>
                              <w:pStyle w:val="KIIDtext1"/>
                              <w:spacing w:after="80" w:line="230" w:lineRule="exact"/>
                              <w:rPr>
                                <w:rFonts w:cs="Arial"/>
                                <w:sz w:val="17"/>
                                <w:lang w:val="it-IT"/>
                              </w:rPr>
                            </w:pPr>
                            <w:r w:rsidRPr="00447C2B">
                              <w:rPr>
                                <w:rFonts w:cs="Arial"/>
                                <w:sz w:val="17"/>
                                <w:lang w:val="it-IT"/>
                              </w:rPr>
                              <w:t xml:space="preserve">I proventi meno le spese ottenuti dal Fondo non vengono distribuiti agli </w:t>
                            </w:r>
                            <w:r w:rsidRPr="00571D88">
                              <w:rPr>
                                <w:rFonts w:cs="Arial"/>
                                <w:sz w:val="17"/>
                                <w:lang w:val="it-IT"/>
                              </w:rPr>
                              <w:t xml:space="preserve">investitori, ma vengono accumulati nel valore netto patrimoniale per azione del Fondo. </w:t>
                            </w:r>
                          </w:p>
                          <w:p w14:paraId="7B0ED08D" w14:textId="4399D6B4" w:rsidR="008D0391" w:rsidRPr="00571D88" w:rsidRDefault="008D0391" w:rsidP="00CD7EA5">
                            <w:pPr>
                              <w:pStyle w:val="KIIDtext1"/>
                              <w:spacing w:after="80" w:line="230" w:lineRule="exact"/>
                              <w:rPr>
                                <w:rFonts w:cs="Arial"/>
                                <w:sz w:val="17"/>
                                <w:lang w:val="it-IT"/>
                              </w:rPr>
                            </w:pPr>
                            <w:r w:rsidRPr="00571D88">
                              <w:rPr>
                                <w:rFonts w:cs="Arial"/>
                                <w:sz w:val="17"/>
                                <w:lang w:val="it-IT"/>
                              </w:rPr>
                              <w:t xml:space="preserve">Il valore del Fondo viene calcolato e pubblicato giornalmente e gli investitori possono acquistare e/o vendere le azioni in qualunque giorno di apertura delle banche di Dublino e Londra. </w:t>
                            </w:r>
                          </w:p>
                          <w:p w14:paraId="6FDEAC5F" w14:textId="7244FCC4" w:rsidR="008D0391" w:rsidRPr="00571D88" w:rsidRDefault="008D0391" w:rsidP="00CD7EA5">
                            <w:pPr>
                              <w:pStyle w:val="KIIDtext1"/>
                              <w:spacing w:after="80" w:line="230" w:lineRule="exact"/>
                              <w:rPr>
                                <w:rFonts w:cs="Arial"/>
                                <w:bCs/>
                                <w:sz w:val="17"/>
                                <w:lang w:val="it-IT"/>
                              </w:rPr>
                            </w:pPr>
                            <w:r w:rsidRPr="00571D88">
                              <w:rPr>
                                <w:rFonts w:cs="Arial"/>
                                <w:bCs/>
                                <w:sz w:val="17"/>
                                <w:lang w:val="it-IT"/>
                              </w:rPr>
                              <w:t>Il Fondo potrebbe, ma senza alcun obbligo, utilizzare l’azionario per ridurre il rischio e gestire il Fondo con maggiore efficienza.</w:t>
                            </w:r>
                          </w:p>
                          <w:p w14:paraId="4C879E0A" w14:textId="491F1D67" w:rsidR="008D0391" w:rsidRPr="00571D88" w:rsidRDefault="008D0391" w:rsidP="00CD7EA5">
                            <w:pPr>
                              <w:pStyle w:val="KIIDtext1"/>
                              <w:spacing w:after="80" w:line="230" w:lineRule="exact"/>
                              <w:rPr>
                                <w:rFonts w:cs="Arial"/>
                                <w:bCs/>
                                <w:sz w:val="17"/>
                                <w:lang w:val="it-IT"/>
                              </w:rPr>
                            </w:pPr>
                            <w:r w:rsidRPr="00571D88">
                              <w:rPr>
                                <w:rFonts w:cs="Arial"/>
                                <w:bCs/>
                                <w:sz w:val="17"/>
                                <w:lang w:val="it-IT"/>
                              </w:rPr>
                              <w:t>Si possono utilizzare strumenti finanziari derivati (FDI) per raggiungere l’obiettivo di investimento e ridurre il rischio o gestire il Fondo con maggiore efficienza. Ciò include, in modo non limitativo, l’uso di FDI per creare una posizione azionaria a breve termine in modo da ridurre i rischi dell'azionario sulle obbligazioni convertibili a</w:t>
                            </w:r>
                            <w:bookmarkStart w:id="0" w:name="_GoBack"/>
                            <w:bookmarkEnd w:id="0"/>
                            <w:r w:rsidRPr="00571D88">
                              <w:rPr>
                                <w:rFonts w:cs="Arial"/>
                                <w:bCs/>
                                <w:sz w:val="17"/>
                                <w:lang w:val="it-IT"/>
                              </w:rPr>
                              <w:t xml:space="preserve"> lungo termine. </w:t>
                            </w:r>
                          </w:p>
                          <w:p w14:paraId="09C6C445" w14:textId="1A5890B3" w:rsidR="008D0391" w:rsidRPr="00447C2B" w:rsidRDefault="008D0391" w:rsidP="00CD7EA5">
                            <w:pPr>
                              <w:pStyle w:val="KIIDtext1"/>
                              <w:spacing w:after="80" w:line="230" w:lineRule="exact"/>
                              <w:rPr>
                                <w:rFonts w:cs="Arial"/>
                                <w:b/>
                                <w:bCs/>
                                <w:sz w:val="17"/>
                                <w:lang w:val="it-IT"/>
                              </w:rPr>
                            </w:pPr>
                            <w:r w:rsidRPr="00571D88">
                              <w:rPr>
                                <w:rFonts w:cs="Arial"/>
                                <w:bCs/>
                                <w:sz w:val="17"/>
                                <w:lang w:val="it-IT"/>
                              </w:rPr>
                              <w:t>Per informazioni complete sull’obiettivo e la politica di investimento</w:t>
                            </w:r>
                            <w:r w:rsidRPr="00447C2B">
                              <w:rPr>
                                <w:rFonts w:cs="Arial"/>
                                <w:bCs/>
                                <w:sz w:val="17"/>
                                <w:lang w:val="it-IT"/>
                              </w:rPr>
                              <w:t>, nonché sulle politiche di sottoscrizione e rimborso, si prega di fare riferimento al Prospetto.</w:t>
                            </w:r>
                          </w:p>
                          <w:p w14:paraId="356E3144" w14:textId="69A05DF9" w:rsidR="008D0391" w:rsidRPr="00544424" w:rsidRDefault="008D0391" w:rsidP="00312885">
                            <w:pPr>
                              <w:pStyle w:val="KIIDtext1"/>
                              <w:spacing w:after="80"/>
                              <w:rPr>
                                <w:rFonts w:cs="Arial"/>
                                <w:sz w:val="17"/>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04B6A" id="_x0000_s1029" type="#_x0000_t202" style="position:absolute;margin-left:210.75pt;margin-top:108.75pt;width:287.45pt;height:2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mNhgIAABg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" stroked="f">
                <v:textbox>
                  <w:txbxContent>
                    <w:p w14:paraId="75B1DBBE" w14:textId="73F19B2A" w:rsidR="008D0391" w:rsidRPr="00571D88" w:rsidRDefault="008D0391" w:rsidP="00CD7EA5">
                      <w:pPr>
                        <w:pStyle w:val="KIIDtext1"/>
                        <w:spacing w:after="80" w:line="230" w:lineRule="exact"/>
                        <w:rPr>
                          <w:rFonts w:cs="Arial"/>
                          <w:sz w:val="17"/>
                          <w:lang w:val="it-IT"/>
                        </w:rPr>
                      </w:pPr>
                      <w:r w:rsidRPr="00447C2B">
                        <w:rPr>
                          <w:rFonts w:cs="Arial"/>
                          <w:sz w:val="17"/>
                          <w:lang w:val="it-IT"/>
                        </w:rPr>
                        <w:t xml:space="preserve">I proventi meno le spese ottenuti dal Fondo non vengono distribuiti agli </w:t>
                      </w:r>
                      <w:r w:rsidRPr="00571D88">
                        <w:rPr>
                          <w:rFonts w:cs="Arial"/>
                          <w:sz w:val="17"/>
                          <w:lang w:val="it-IT"/>
                        </w:rPr>
                        <w:t xml:space="preserve">investitori, ma vengono accumulati nel valore netto patrimoniale per azione del Fondo. </w:t>
                      </w:r>
                    </w:p>
                    <w:p w14:paraId="7B0ED08D" w14:textId="4399D6B4" w:rsidR="008D0391" w:rsidRPr="00571D88" w:rsidRDefault="008D0391" w:rsidP="00CD7EA5">
                      <w:pPr>
                        <w:pStyle w:val="KIIDtext1"/>
                        <w:spacing w:after="80" w:line="230" w:lineRule="exact"/>
                        <w:rPr>
                          <w:rFonts w:cs="Arial"/>
                          <w:sz w:val="17"/>
                          <w:lang w:val="it-IT"/>
                        </w:rPr>
                      </w:pPr>
                      <w:r w:rsidRPr="00571D88">
                        <w:rPr>
                          <w:rFonts w:cs="Arial"/>
                          <w:sz w:val="17"/>
                          <w:lang w:val="it-IT"/>
                        </w:rPr>
                        <w:t xml:space="preserve">Il valore del Fondo viene calcolato e pubblicato giornalmente e gli investitori possono acquistare e/o vendere le azioni in qualunque giorno di apertura delle banche di Dublino e Londra. </w:t>
                      </w:r>
                    </w:p>
                    <w:p w14:paraId="6FDEAC5F" w14:textId="7244FCC4" w:rsidR="008D0391" w:rsidRPr="00571D88" w:rsidRDefault="008D0391" w:rsidP="00CD7EA5">
                      <w:pPr>
                        <w:pStyle w:val="KIIDtext1"/>
                        <w:spacing w:after="80" w:line="230" w:lineRule="exact"/>
                        <w:rPr>
                          <w:rFonts w:cs="Arial"/>
                          <w:bCs/>
                          <w:sz w:val="17"/>
                          <w:lang w:val="it-IT"/>
                        </w:rPr>
                      </w:pPr>
                      <w:r w:rsidRPr="00571D88">
                        <w:rPr>
                          <w:rFonts w:cs="Arial"/>
                          <w:bCs/>
                          <w:sz w:val="17"/>
                          <w:lang w:val="it-IT"/>
                        </w:rPr>
                        <w:t>Il Fondo potrebbe, ma senza alcun obbligo, utilizzare l’azionario per ridurre il rischio e gestire il Fondo con maggiore efficienza.</w:t>
                      </w:r>
                    </w:p>
                    <w:p w14:paraId="4C879E0A" w14:textId="491F1D67" w:rsidR="008D0391" w:rsidRPr="00571D88" w:rsidRDefault="008D0391" w:rsidP="00CD7EA5">
                      <w:pPr>
                        <w:pStyle w:val="KIIDtext1"/>
                        <w:spacing w:after="80" w:line="230" w:lineRule="exact"/>
                        <w:rPr>
                          <w:rFonts w:cs="Arial"/>
                          <w:bCs/>
                          <w:sz w:val="17"/>
                          <w:lang w:val="it-IT"/>
                        </w:rPr>
                      </w:pPr>
                      <w:r w:rsidRPr="00571D88">
                        <w:rPr>
                          <w:rFonts w:cs="Arial"/>
                          <w:bCs/>
                          <w:sz w:val="17"/>
                          <w:lang w:val="it-IT"/>
                        </w:rPr>
                        <w:t xml:space="preserve">Si possono utilizzare strumenti finanziari derivati (FDI) per raggiungere l’obiettivo di investimento e ridurre il rischio o gestire il Fondo con maggiore efficienza. Ciò include, in modo non limitativo, l’uso di FDI per creare una posizione azionaria a breve termine in modo da ridurre i rischi dell'azionario sulle obbligazioni convertibili a lungo termine. </w:t>
                      </w:r>
                    </w:p>
                    <w:p w14:paraId="09C6C445" w14:textId="1A5890B3" w:rsidR="008D0391" w:rsidRPr="00447C2B" w:rsidRDefault="008D0391" w:rsidP="00CD7EA5">
                      <w:pPr>
                        <w:pStyle w:val="KIIDtext1"/>
                        <w:spacing w:after="80" w:line="230" w:lineRule="exact"/>
                        <w:rPr>
                          <w:rFonts w:cs="Arial"/>
                          <w:b/>
                          <w:bCs/>
                          <w:sz w:val="17"/>
                          <w:lang w:val="it-IT"/>
                        </w:rPr>
                      </w:pPr>
                      <w:r w:rsidRPr="00571D88">
                        <w:rPr>
                          <w:rFonts w:cs="Arial"/>
                          <w:bCs/>
                          <w:sz w:val="17"/>
                          <w:lang w:val="it-IT"/>
                        </w:rPr>
                        <w:t>Per informazioni complete sull’obiettivo e la politica di investimento</w:t>
                      </w:r>
                      <w:r w:rsidRPr="00447C2B">
                        <w:rPr>
                          <w:rFonts w:cs="Arial"/>
                          <w:bCs/>
                          <w:sz w:val="17"/>
                          <w:lang w:val="it-IT"/>
                        </w:rPr>
                        <w:t>, nonché sulle politiche di sottoscrizione e rimborso, si prega di fare riferimento al Prospetto.</w:t>
                      </w:r>
                    </w:p>
                    <w:p w14:paraId="356E3144" w14:textId="69A05DF9" w:rsidR="008D0391" w:rsidRPr="00544424" w:rsidRDefault="008D0391" w:rsidP="00312885">
                      <w:pPr>
                        <w:pStyle w:val="KIIDtext1"/>
                        <w:spacing w:after="80"/>
                        <w:rPr>
                          <w:rFonts w:cs="Arial"/>
                          <w:sz w:val="17"/>
                          <w:lang w:val="it-IT"/>
                        </w:rPr>
                      </w:pPr>
                    </w:p>
                  </w:txbxContent>
                </v:textbox>
              </v:shape>
            </w:pict>
          </mc:Fallback>
        </mc:AlternateContent>
      </w:r>
      <w:r w:rsidR="00CA5064">
        <w:rPr>
          <w:noProof/>
          <w:lang w:val="de-DE" w:eastAsia="ja-JP"/>
        </w:rPr>
        <mc:AlternateContent>
          <mc:Choice Requires="wps">
            <w:drawing>
              <wp:anchor distT="0" distB="0" distL="114300" distR="114300" simplePos="0" relativeHeight="251668480" behindDoc="0" locked="0" layoutInCell="1" allowOverlap="1" wp14:anchorId="775DDF5F" wp14:editId="66F52826">
                <wp:simplePos x="0" y="0"/>
                <wp:positionH relativeFrom="column">
                  <wp:posOffset>2762250</wp:posOffset>
                </wp:positionH>
                <wp:positionV relativeFrom="paragraph">
                  <wp:posOffset>4352925</wp:posOffset>
                </wp:positionV>
                <wp:extent cx="3570605" cy="47244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472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18A50" w14:textId="45A92CF1" w:rsidR="008D0391" w:rsidRPr="00E7786C" w:rsidRDefault="008D0391" w:rsidP="00807759">
                            <w:pPr>
                              <w:pStyle w:val="KIIDtext1"/>
                              <w:numPr>
                                <w:ilvl w:val="0"/>
                                <w:numId w:val="5"/>
                              </w:numPr>
                              <w:spacing w:line="210" w:lineRule="exact"/>
                              <w:rPr>
                                <w:rFonts w:cs="Arial"/>
                                <w:sz w:val="17"/>
                                <w:lang w:val="it-IT"/>
                              </w:rPr>
                            </w:pPr>
                            <w:r w:rsidRPr="00E7786C">
                              <w:rPr>
                                <w:rFonts w:cs="Arial"/>
                                <w:b/>
                                <w:bCs/>
                                <w:sz w:val="17"/>
                                <w:lang w:val="it-IT"/>
                              </w:rPr>
                              <w:t>Rischio valutario della classe</w:t>
                            </w:r>
                            <w:r w:rsidRPr="00E7786C">
                              <w:rPr>
                                <w:rFonts w:cs="Arial"/>
                                <w:sz w:val="17"/>
                                <w:lang w:val="it-IT"/>
                              </w:rPr>
                              <w:t>: l’hedging valutario potrebbe non itigare gli effetti delle fluttuazioni del tasso di cambio per le classi non denominate in USD.</w:t>
                            </w:r>
                          </w:p>
                          <w:p w14:paraId="257A0D0D" w14:textId="5D2B899A" w:rsidR="008D0391" w:rsidRPr="00E7786C" w:rsidRDefault="008D0391" w:rsidP="00807759">
                            <w:pPr>
                              <w:pStyle w:val="KIIDtext1"/>
                              <w:numPr>
                                <w:ilvl w:val="0"/>
                                <w:numId w:val="5"/>
                              </w:numPr>
                              <w:spacing w:line="210" w:lineRule="exact"/>
                              <w:rPr>
                                <w:rFonts w:cs="Arial"/>
                                <w:bCs/>
                                <w:sz w:val="17"/>
                                <w:lang w:val="it-IT"/>
                              </w:rPr>
                            </w:pPr>
                            <w:r w:rsidRPr="00E7786C">
                              <w:rPr>
                                <w:rFonts w:cs="Arial"/>
                                <w:b/>
                                <w:sz w:val="17"/>
                                <w:lang w:val="it-IT"/>
                              </w:rPr>
                              <w:t>Rischio dei mercati emergenti</w:t>
                            </w:r>
                            <w:r w:rsidRPr="00E7786C">
                              <w:rPr>
                                <w:rFonts w:cs="Arial"/>
                                <w:bCs/>
                                <w:sz w:val="17"/>
                                <w:lang w:val="it-IT"/>
                              </w:rPr>
                              <w:t>: i mercati emergenti comportano probabilmente rischi più elevati a causa della minore liquidità e alla possibile mancanza di strutture finanziarie, legali, sociali, politiche ed economiche adeguate, di protezione e stabilità, e delle posizioni fiscali incerte.</w:t>
                            </w:r>
                          </w:p>
                          <w:p w14:paraId="56536B43" w14:textId="2E88E7FC" w:rsidR="008D0391" w:rsidRPr="00571D88" w:rsidRDefault="008D0391" w:rsidP="00807759">
                            <w:pPr>
                              <w:pStyle w:val="KIIDtext1"/>
                              <w:numPr>
                                <w:ilvl w:val="0"/>
                                <w:numId w:val="5"/>
                              </w:numPr>
                              <w:spacing w:line="210" w:lineRule="exact"/>
                              <w:rPr>
                                <w:rFonts w:cs="Arial"/>
                                <w:bCs/>
                                <w:sz w:val="17"/>
                                <w:lang w:val="it-IT"/>
                              </w:rPr>
                            </w:pPr>
                            <w:r w:rsidRPr="00E7786C">
                              <w:rPr>
                                <w:rFonts w:cs="Arial"/>
                                <w:b/>
                                <w:sz w:val="17"/>
                                <w:lang w:val="it-IT"/>
                              </w:rPr>
                              <w:t>Rischio operativo</w:t>
                            </w:r>
                            <w:r w:rsidRPr="00E7786C">
                              <w:rPr>
                                <w:rFonts w:cs="Arial"/>
                                <w:bCs/>
                                <w:sz w:val="17"/>
                                <w:lang w:val="it-IT"/>
                              </w:rPr>
                              <w:t xml:space="preserve">: possono verificarsi perdite materiali del </w:t>
                            </w:r>
                            <w:r w:rsidRPr="00571D88">
                              <w:rPr>
                                <w:rFonts w:cs="Arial"/>
                                <w:bCs/>
                                <w:sz w:val="17"/>
                                <w:lang w:val="it-IT"/>
                              </w:rPr>
                              <w:t xml:space="preserve">Fondo a seguito di un errore umano, di sistema e/o di processo, o di procedure o controlli inadeguati. </w:t>
                            </w:r>
                          </w:p>
                          <w:p w14:paraId="5946C460" w14:textId="058FF456" w:rsidR="008D0391" w:rsidRPr="00571D88" w:rsidRDefault="008D0391" w:rsidP="00807759">
                            <w:pPr>
                              <w:pStyle w:val="KIIDtext1"/>
                              <w:numPr>
                                <w:ilvl w:val="0"/>
                                <w:numId w:val="5"/>
                              </w:numPr>
                              <w:spacing w:line="210" w:lineRule="exact"/>
                              <w:rPr>
                                <w:rFonts w:cs="Arial"/>
                                <w:bCs/>
                                <w:sz w:val="17"/>
                                <w:lang w:val="it-IT"/>
                              </w:rPr>
                            </w:pPr>
                            <w:r w:rsidRPr="00571D88">
                              <w:rPr>
                                <w:rFonts w:cs="Arial"/>
                                <w:b/>
                                <w:sz w:val="17"/>
                                <w:lang w:val="it-IT"/>
                              </w:rPr>
                              <w:t>Rischio valutario</w:t>
                            </w:r>
                            <w:r w:rsidRPr="00571D88">
                              <w:rPr>
                                <w:rFonts w:cs="Arial"/>
                                <w:bCs/>
                                <w:sz w:val="17"/>
                                <w:lang w:val="it-IT"/>
                              </w:rPr>
                              <w:t>: gli scambi al tasso di cambio possono ridurre o aumentare il valore degli asset non denominati in USD detenuti dal Fondo. L’hedging potrebbe non mitigare tali effetti.</w:t>
                            </w:r>
                          </w:p>
                          <w:p w14:paraId="0AE88B51" w14:textId="025C40E8" w:rsidR="008D0391" w:rsidRPr="00571D88" w:rsidRDefault="008D0391" w:rsidP="00807759">
                            <w:pPr>
                              <w:pStyle w:val="KIIDtext1"/>
                              <w:numPr>
                                <w:ilvl w:val="0"/>
                                <w:numId w:val="5"/>
                              </w:numPr>
                              <w:spacing w:line="210" w:lineRule="exact"/>
                              <w:rPr>
                                <w:rFonts w:cs="Arial"/>
                                <w:bCs/>
                                <w:sz w:val="17"/>
                                <w:lang w:val="it-IT"/>
                              </w:rPr>
                            </w:pPr>
                            <w:r w:rsidRPr="00571D88">
                              <w:rPr>
                                <w:rFonts w:cs="Arial"/>
                                <w:b/>
                                <w:sz w:val="17"/>
                                <w:lang w:val="it-IT"/>
                              </w:rPr>
                              <w:t>Rischio associato al rendimento elevato</w:t>
                            </w:r>
                            <w:r w:rsidRPr="00571D88">
                              <w:rPr>
                                <w:rFonts w:cs="Arial"/>
                                <w:bCs/>
                                <w:sz w:val="17"/>
                                <w:lang w:val="it-IT"/>
                              </w:rPr>
                              <w:t xml:space="preserve">: gli investimenti ad alto rendimento, vale a dire gli strumenti che generano proventi elevati, comportano generalmente un rischio di credito più elevato e una maggiore sensibilità all’andamento dell'economia, con variazioni di prezzo maggiori rispetto agli strumenti con rendimento più basso. </w:t>
                            </w:r>
                          </w:p>
                          <w:p w14:paraId="1635603F" w14:textId="4D5BF4A5" w:rsidR="008D0391" w:rsidRPr="00571D88" w:rsidRDefault="008D0391" w:rsidP="00807759">
                            <w:pPr>
                              <w:pStyle w:val="KIIDtext1"/>
                              <w:numPr>
                                <w:ilvl w:val="0"/>
                                <w:numId w:val="5"/>
                              </w:numPr>
                              <w:spacing w:line="210" w:lineRule="exact"/>
                              <w:rPr>
                                <w:rFonts w:cs="Arial"/>
                                <w:bCs/>
                                <w:sz w:val="17"/>
                                <w:lang w:val="it-IT"/>
                              </w:rPr>
                            </w:pPr>
                            <w:r w:rsidRPr="00571D88">
                              <w:rPr>
                                <w:rFonts w:cs="Arial"/>
                                <w:b/>
                                <w:sz w:val="17"/>
                                <w:lang w:val="it-IT"/>
                              </w:rPr>
                              <w:t>Rischio di liquidità</w:t>
                            </w:r>
                            <w:r w:rsidRPr="00571D88">
                              <w:rPr>
                                <w:rFonts w:cs="Arial"/>
                                <w:bCs/>
                                <w:sz w:val="17"/>
                                <w:lang w:val="it-IT"/>
                              </w:rPr>
                              <w:t>: le obbligazioni convertibili sono scambiate prevalentemente in un mercato over-the-counter e possono essere soggette a una minore liquidità rispetto ai titoli azionari sottostanti.</w:t>
                            </w:r>
                          </w:p>
                          <w:p w14:paraId="18B9FEBF" w14:textId="6EA1204E" w:rsidR="008D0391" w:rsidRPr="00571D88" w:rsidRDefault="008D0391" w:rsidP="00807759">
                            <w:pPr>
                              <w:pStyle w:val="KIIDtext1"/>
                              <w:numPr>
                                <w:ilvl w:val="0"/>
                                <w:numId w:val="5"/>
                              </w:numPr>
                              <w:spacing w:line="210" w:lineRule="exact"/>
                              <w:rPr>
                                <w:rFonts w:cs="Arial"/>
                                <w:bCs/>
                                <w:sz w:val="17"/>
                                <w:lang w:val="it-IT"/>
                              </w:rPr>
                            </w:pPr>
                            <w:r w:rsidRPr="00571D88">
                              <w:rPr>
                                <w:rFonts w:cs="Arial"/>
                                <w:b/>
                                <w:sz w:val="17"/>
                                <w:lang w:val="it-IT"/>
                              </w:rPr>
                              <w:t>Rischio inerente agli strumenti derivati e alla leva finanziaria</w:t>
                            </w:r>
                            <w:r w:rsidRPr="00571D88">
                              <w:rPr>
                                <w:rFonts w:cs="Arial"/>
                                <w:bCs/>
                                <w:sz w:val="17"/>
                                <w:lang w:val="it-IT"/>
                              </w:rPr>
                              <w:t xml:space="preserve">: alcuni strumenti derivati possono introdurre una leva finanziaria nel Fondo che può dare come risultato perdite superiori all’importo investito in origine in tale strumento derivato. </w:t>
                            </w:r>
                          </w:p>
                          <w:p w14:paraId="452F9445" w14:textId="73ADB776" w:rsidR="008D0391" w:rsidRPr="00FE75FB" w:rsidRDefault="008D0391" w:rsidP="00CA5064">
                            <w:pPr>
                              <w:pStyle w:val="KIIDtext1"/>
                              <w:spacing w:line="210" w:lineRule="exact"/>
                              <w:ind w:left="142"/>
                              <w:rPr>
                                <w:rFonts w:cs="Arial"/>
                                <w:sz w:val="17"/>
                                <w:lang w:val="it-IT"/>
                              </w:rPr>
                            </w:pPr>
                            <w:r w:rsidRPr="00571D88">
                              <w:rPr>
                                <w:rFonts w:cs="Arial"/>
                                <w:bCs/>
                                <w:sz w:val="17"/>
                                <w:lang w:val="it-IT"/>
                              </w:rPr>
                              <w:t>Il prospetto del Fondo e il Supplemento</w:t>
                            </w:r>
                            <w:r>
                              <w:rPr>
                                <w:rFonts w:cs="Arial"/>
                                <w:bCs/>
                                <w:sz w:val="17"/>
                                <w:lang w:val="it-IT"/>
                              </w:rPr>
                              <w:t xml:space="preserve"> contengono </w:t>
                            </w:r>
                            <w:r w:rsidRPr="00FE75FB">
                              <w:rPr>
                                <w:rFonts w:cs="Arial"/>
                                <w:bCs/>
                                <w:sz w:val="17"/>
                                <w:lang w:val="it-IT"/>
                              </w:rPr>
                              <w:t>una descrizione più dettagliata dei fattori di rischio applicabili al Fondo.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DDF5F" id="_x0000_s1030" type="#_x0000_t202" style="position:absolute;margin-left:217.5pt;margin-top:342.75pt;width:281.15pt;height: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9b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" stroked="f">
                <v:textbox>
                  <w:txbxContent>
                    <w:p w14:paraId="6E618A50" w14:textId="45A92CF1" w:rsidR="008D0391" w:rsidRPr="00E7786C" w:rsidRDefault="008D0391" w:rsidP="00807759">
                      <w:pPr>
                        <w:pStyle w:val="KIIDtext1"/>
                        <w:numPr>
                          <w:ilvl w:val="0"/>
                          <w:numId w:val="5"/>
                        </w:numPr>
                        <w:spacing w:line="210" w:lineRule="exact"/>
                        <w:rPr>
                          <w:rFonts w:cs="Arial"/>
                          <w:sz w:val="17"/>
                          <w:lang w:val="it-IT"/>
                        </w:rPr>
                      </w:pPr>
                      <w:r w:rsidRPr="00E7786C">
                        <w:rPr>
                          <w:rFonts w:cs="Arial"/>
                          <w:b/>
                          <w:bCs/>
                          <w:sz w:val="17"/>
                          <w:lang w:val="it-IT"/>
                        </w:rPr>
                        <w:t>Rischio valutario della classe</w:t>
                      </w:r>
                      <w:r w:rsidRPr="00E7786C">
                        <w:rPr>
                          <w:rFonts w:cs="Arial"/>
                          <w:sz w:val="17"/>
                          <w:lang w:val="it-IT"/>
                        </w:rPr>
                        <w:t>: l’hedging valutario potrebbe non itigare gli effetti delle fluttuazioni del tasso di cambio per le classi non denominate in USD.</w:t>
                      </w:r>
                    </w:p>
                    <w:p w14:paraId="257A0D0D" w14:textId="5D2B899A" w:rsidR="008D0391" w:rsidRPr="00E7786C" w:rsidRDefault="008D0391" w:rsidP="00807759">
                      <w:pPr>
                        <w:pStyle w:val="KIIDtext1"/>
                        <w:numPr>
                          <w:ilvl w:val="0"/>
                          <w:numId w:val="5"/>
                        </w:numPr>
                        <w:spacing w:line="210" w:lineRule="exact"/>
                        <w:rPr>
                          <w:rFonts w:cs="Arial"/>
                          <w:bCs/>
                          <w:sz w:val="17"/>
                          <w:lang w:val="it-IT"/>
                        </w:rPr>
                      </w:pPr>
                      <w:r w:rsidRPr="00E7786C">
                        <w:rPr>
                          <w:rFonts w:cs="Arial"/>
                          <w:b/>
                          <w:sz w:val="17"/>
                          <w:lang w:val="it-IT"/>
                        </w:rPr>
                        <w:t>Rischio dei mercati emergenti</w:t>
                      </w:r>
                      <w:r w:rsidRPr="00E7786C">
                        <w:rPr>
                          <w:rFonts w:cs="Arial"/>
                          <w:bCs/>
                          <w:sz w:val="17"/>
                          <w:lang w:val="it-IT"/>
                        </w:rPr>
                        <w:t>: i mercati emergenti comportano probabilmente rischi più elevati a causa della minore liquidità e alla possibile mancanza di strutture finanziarie, legali, sociali, politiche ed economiche adeguate, di protezione e stabilità, e delle posizioni fiscali incerte.</w:t>
                      </w:r>
                    </w:p>
                    <w:p w14:paraId="56536B43" w14:textId="2E88E7FC" w:rsidR="008D0391" w:rsidRPr="00571D88" w:rsidRDefault="008D0391" w:rsidP="00807759">
                      <w:pPr>
                        <w:pStyle w:val="KIIDtext1"/>
                        <w:numPr>
                          <w:ilvl w:val="0"/>
                          <w:numId w:val="5"/>
                        </w:numPr>
                        <w:spacing w:line="210" w:lineRule="exact"/>
                        <w:rPr>
                          <w:rFonts w:cs="Arial"/>
                          <w:bCs/>
                          <w:sz w:val="17"/>
                          <w:lang w:val="it-IT"/>
                        </w:rPr>
                      </w:pPr>
                      <w:r w:rsidRPr="00E7786C">
                        <w:rPr>
                          <w:rFonts w:cs="Arial"/>
                          <w:b/>
                          <w:sz w:val="17"/>
                          <w:lang w:val="it-IT"/>
                        </w:rPr>
                        <w:t>Rischio operativo</w:t>
                      </w:r>
                      <w:r w:rsidRPr="00E7786C">
                        <w:rPr>
                          <w:rFonts w:cs="Arial"/>
                          <w:bCs/>
                          <w:sz w:val="17"/>
                          <w:lang w:val="it-IT"/>
                        </w:rPr>
                        <w:t xml:space="preserve">: possono verificarsi perdite materiali del </w:t>
                      </w:r>
                      <w:r w:rsidRPr="00571D88">
                        <w:rPr>
                          <w:rFonts w:cs="Arial"/>
                          <w:bCs/>
                          <w:sz w:val="17"/>
                          <w:lang w:val="it-IT"/>
                        </w:rPr>
                        <w:t xml:space="preserve">Fondo a seguito di un errore umano, di sistema e/o di processo, o di procedure o controlli inadeguati. </w:t>
                      </w:r>
                    </w:p>
                    <w:p w14:paraId="5946C460" w14:textId="058FF456" w:rsidR="008D0391" w:rsidRPr="00571D88" w:rsidRDefault="008D0391" w:rsidP="00807759">
                      <w:pPr>
                        <w:pStyle w:val="KIIDtext1"/>
                        <w:numPr>
                          <w:ilvl w:val="0"/>
                          <w:numId w:val="5"/>
                        </w:numPr>
                        <w:spacing w:line="210" w:lineRule="exact"/>
                        <w:rPr>
                          <w:rFonts w:cs="Arial"/>
                          <w:bCs/>
                          <w:sz w:val="17"/>
                          <w:lang w:val="it-IT"/>
                        </w:rPr>
                      </w:pPr>
                      <w:r w:rsidRPr="00571D88">
                        <w:rPr>
                          <w:rFonts w:cs="Arial"/>
                          <w:b/>
                          <w:sz w:val="17"/>
                          <w:lang w:val="it-IT"/>
                        </w:rPr>
                        <w:t>Rischio valutario</w:t>
                      </w:r>
                      <w:r w:rsidRPr="00571D88">
                        <w:rPr>
                          <w:rFonts w:cs="Arial"/>
                          <w:bCs/>
                          <w:sz w:val="17"/>
                          <w:lang w:val="it-IT"/>
                        </w:rPr>
                        <w:t>: gli scambi al tasso di cambio possono ridurre o aumentare il valore degli asset non denominati in USD detenuti dal Fondo. L’hedging potrebbe non mitigare tali effetti.</w:t>
                      </w:r>
                    </w:p>
                    <w:p w14:paraId="0AE88B51" w14:textId="025C40E8" w:rsidR="008D0391" w:rsidRPr="00571D88" w:rsidRDefault="008D0391" w:rsidP="00807759">
                      <w:pPr>
                        <w:pStyle w:val="KIIDtext1"/>
                        <w:numPr>
                          <w:ilvl w:val="0"/>
                          <w:numId w:val="5"/>
                        </w:numPr>
                        <w:spacing w:line="210" w:lineRule="exact"/>
                        <w:rPr>
                          <w:rFonts w:cs="Arial"/>
                          <w:bCs/>
                          <w:sz w:val="17"/>
                          <w:lang w:val="it-IT"/>
                        </w:rPr>
                      </w:pPr>
                      <w:r w:rsidRPr="00571D88">
                        <w:rPr>
                          <w:rFonts w:cs="Arial"/>
                          <w:b/>
                          <w:sz w:val="17"/>
                          <w:lang w:val="it-IT"/>
                        </w:rPr>
                        <w:t>Rischio associato al rendimento elevato</w:t>
                      </w:r>
                      <w:r w:rsidRPr="00571D88">
                        <w:rPr>
                          <w:rFonts w:cs="Arial"/>
                          <w:bCs/>
                          <w:sz w:val="17"/>
                          <w:lang w:val="it-IT"/>
                        </w:rPr>
                        <w:t xml:space="preserve">: gli investimenti ad alto rendimento, vale a dire gli strumenti che generano proventi elevati, comportano generalmente un rischio di credito più elevato e una maggiore sensibilità all’andamento dell'economia, con variazioni di prezzo maggiori rispetto agli strumenti con rendimento più basso. </w:t>
                      </w:r>
                    </w:p>
                    <w:p w14:paraId="1635603F" w14:textId="4D5BF4A5" w:rsidR="008D0391" w:rsidRPr="00571D88" w:rsidRDefault="008D0391" w:rsidP="00807759">
                      <w:pPr>
                        <w:pStyle w:val="KIIDtext1"/>
                        <w:numPr>
                          <w:ilvl w:val="0"/>
                          <w:numId w:val="5"/>
                        </w:numPr>
                        <w:spacing w:line="210" w:lineRule="exact"/>
                        <w:rPr>
                          <w:rFonts w:cs="Arial"/>
                          <w:bCs/>
                          <w:sz w:val="17"/>
                          <w:lang w:val="it-IT"/>
                        </w:rPr>
                      </w:pPr>
                      <w:r w:rsidRPr="00571D88">
                        <w:rPr>
                          <w:rFonts w:cs="Arial"/>
                          <w:b/>
                          <w:sz w:val="17"/>
                          <w:lang w:val="it-IT"/>
                        </w:rPr>
                        <w:t>Rischio di liquidità</w:t>
                      </w:r>
                      <w:r w:rsidRPr="00571D88">
                        <w:rPr>
                          <w:rFonts w:cs="Arial"/>
                          <w:bCs/>
                          <w:sz w:val="17"/>
                          <w:lang w:val="it-IT"/>
                        </w:rPr>
                        <w:t>: le obbligazioni convertibili sono scambiate prevalentemente in un mercato over-the-counter e possono essere soggette a una minore liquidità rispetto ai titoli azionari sottostanti.</w:t>
                      </w:r>
                    </w:p>
                    <w:p w14:paraId="18B9FEBF" w14:textId="6EA1204E" w:rsidR="008D0391" w:rsidRPr="00571D88" w:rsidRDefault="008D0391" w:rsidP="00807759">
                      <w:pPr>
                        <w:pStyle w:val="KIIDtext1"/>
                        <w:numPr>
                          <w:ilvl w:val="0"/>
                          <w:numId w:val="5"/>
                        </w:numPr>
                        <w:spacing w:line="210" w:lineRule="exact"/>
                        <w:rPr>
                          <w:rFonts w:cs="Arial"/>
                          <w:bCs/>
                          <w:sz w:val="17"/>
                          <w:lang w:val="it-IT"/>
                        </w:rPr>
                      </w:pPr>
                      <w:r w:rsidRPr="00571D88">
                        <w:rPr>
                          <w:rFonts w:cs="Arial"/>
                          <w:b/>
                          <w:sz w:val="17"/>
                          <w:lang w:val="it-IT"/>
                        </w:rPr>
                        <w:t>Rischio inerente agli strumenti derivati e alla leva finanziaria</w:t>
                      </w:r>
                      <w:r w:rsidRPr="00571D88">
                        <w:rPr>
                          <w:rFonts w:cs="Arial"/>
                          <w:bCs/>
                          <w:sz w:val="17"/>
                          <w:lang w:val="it-IT"/>
                        </w:rPr>
                        <w:t xml:space="preserve">: alcuni strumenti derivati possono introdurre una leva finanziaria nel Fondo che può dare come risultato perdite superiori all’importo investito in origine in tale strumento derivato. </w:t>
                      </w:r>
                    </w:p>
                    <w:p w14:paraId="452F9445" w14:textId="73ADB776" w:rsidR="008D0391" w:rsidRPr="00FE75FB" w:rsidRDefault="008D0391" w:rsidP="00CA5064">
                      <w:pPr>
                        <w:pStyle w:val="KIIDtext1"/>
                        <w:spacing w:line="210" w:lineRule="exact"/>
                        <w:ind w:left="142"/>
                        <w:rPr>
                          <w:rFonts w:cs="Arial"/>
                          <w:sz w:val="17"/>
                          <w:lang w:val="it-IT"/>
                        </w:rPr>
                      </w:pPr>
                      <w:r w:rsidRPr="00571D88">
                        <w:rPr>
                          <w:rFonts w:cs="Arial"/>
                          <w:bCs/>
                          <w:sz w:val="17"/>
                          <w:lang w:val="it-IT"/>
                        </w:rPr>
                        <w:t>Il prospetto del Fondo e il Supplemento</w:t>
                      </w:r>
                      <w:r>
                        <w:rPr>
                          <w:rFonts w:cs="Arial"/>
                          <w:bCs/>
                          <w:sz w:val="17"/>
                          <w:lang w:val="it-IT"/>
                        </w:rPr>
                        <w:t xml:space="preserve"> contengono </w:t>
                      </w:r>
                      <w:r w:rsidRPr="00FE75FB">
                        <w:rPr>
                          <w:rFonts w:cs="Arial"/>
                          <w:bCs/>
                          <w:sz w:val="17"/>
                          <w:lang w:val="it-IT"/>
                        </w:rPr>
                        <w:t>una descrizione più dettagliata dei fattori di rischio applicabili al Fondo.</w:t>
                      </w:r>
                    </w:p>
                  </w:txbxContent>
                </v:textbox>
              </v:shape>
            </w:pict>
          </mc:Fallback>
        </mc:AlternateContent>
      </w:r>
      <w:r w:rsidR="00F359E1">
        <w:rPr>
          <w:noProof/>
          <w:lang w:val="de-DE" w:eastAsia="ja-JP"/>
        </w:rPr>
        <mc:AlternateContent>
          <mc:Choice Requires="wps">
            <w:drawing>
              <wp:anchor distT="0" distB="0" distL="114300" distR="114300" simplePos="0" relativeHeight="251706368" behindDoc="0" locked="0" layoutInCell="1" allowOverlap="1" wp14:anchorId="00B1B62C" wp14:editId="1A2E1A68">
                <wp:simplePos x="0" y="0"/>
                <wp:positionH relativeFrom="column">
                  <wp:posOffset>-466725</wp:posOffset>
                </wp:positionH>
                <wp:positionV relativeFrom="paragraph">
                  <wp:posOffset>4581525</wp:posOffset>
                </wp:positionV>
                <wp:extent cx="3204210" cy="1076325"/>
                <wp:effectExtent l="0" t="0" r="15240" b="28575"/>
                <wp:wrapNone/>
                <wp:docPr id="2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1076325"/>
                        </a:xfrm>
                        <a:prstGeom prst="rect">
                          <a:avLst/>
                        </a:prstGeom>
                        <a:noFill/>
                        <a:ln w="9525">
                          <a:solidFill>
                            <a:srgbClr val="006747"/>
                          </a:solidFill>
                          <a:miter lim="800000"/>
                          <a:headEnd/>
                          <a:tailEnd/>
                        </a:ln>
                        <a:extLst>
                          <a:ext uri="{909E8E84-426E-40DD-AFC4-6F175D3DCCD1}">
                            <a14:hiddenFill xmlns:a14="http://schemas.microsoft.com/office/drawing/2010/main">
                              <a:solidFill>
                                <a:srgbClr val="FFFFFF"/>
                              </a:solidFill>
                            </a14:hiddenFill>
                          </a:ext>
                        </a:extLst>
                      </wps:spPr>
                      <wps:txbx>
                        <w:txbxContent>
                          <w:p w14:paraId="761AD6B8" w14:textId="77777777" w:rsidR="008D0391" w:rsidRDefault="008D0391" w:rsidP="005B6E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B62C" id="Rectangle 131" o:spid="_x0000_s1031" style="position:absolute;margin-left:-36.75pt;margin-top:360.75pt;width:252.3pt;height:8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" filled="f" strokecolor="#006747">
                <v:textbox>
                  <w:txbxContent>
                    <w:p w14:paraId="761AD6B8" w14:textId="77777777" w:rsidR="008D0391" w:rsidRDefault="008D0391" w:rsidP="005B6E23"/>
                  </w:txbxContent>
                </v:textbox>
              </v:rect>
            </w:pict>
          </mc:Fallback>
        </mc:AlternateContent>
      </w:r>
      <w:r w:rsidR="00F359E1">
        <w:rPr>
          <w:noProof/>
          <w:lang w:val="de-DE" w:eastAsia="ja-JP"/>
        </w:rPr>
        <mc:AlternateContent>
          <mc:Choice Requires="wps">
            <w:drawing>
              <wp:anchor distT="0" distB="0" distL="114300" distR="114300" simplePos="0" relativeHeight="251655164" behindDoc="0" locked="0" layoutInCell="1" allowOverlap="1" wp14:anchorId="54F53EE3" wp14:editId="6974A9F6">
                <wp:simplePos x="0" y="0"/>
                <wp:positionH relativeFrom="column">
                  <wp:posOffset>-545465</wp:posOffset>
                </wp:positionH>
                <wp:positionV relativeFrom="paragraph">
                  <wp:posOffset>4502150</wp:posOffset>
                </wp:positionV>
                <wp:extent cx="3441700" cy="4660900"/>
                <wp:effectExtent l="0" t="0" r="635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66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4985"/>
                            </w:tblGrid>
                            <w:tr w:rsidR="008D0391" w:rsidRPr="00543AB0" w14:paraId="0AFB0406" w14:textId="77777777" w:rsidTr="005E7E5A">
                              <w:tc>
                                <w:tcPr>
                                  <w:tcW w:w="4939" w:type="dxa"/>
                                  <w:tcBorders>
                                    <w:top w:val="nil"/>
                                    <w:left w:val="nil"/>
                                    <w:bottom w:val="nil"/>
                                    <w:right w:val="nil"/>
                                  </w:tcBorders>
                                  <w:shd w:val="clear" w:color="auto" w:fill="auto"/>
                                </w:tcPr>
                                <w:tbl>
                                  <w:tblPr>
                                    <w:tblW w:w="4916" w:type="dxa"/>
                                    <w:tblInd w:w="23" w:type="dxa"/>
                                    <w:tblBorders>
                                      <w:top w:val="single" w:sz="18" w:space="0" w:color="FFFFFF"/>
                                      <w:bottom w:val="single" w:sz="18" w:space="0" w:color="FFFFFF"/>
                                    </w:tblBorders>
                                    <w:shd w:val="clear" w:color="auto" w:fill="FFFFFF"/>
                                    <w:tblCellMar>
                                      <w:top w:w="85" w:type="dxa"/>
                                      <w:left w:w="0" w:type="dxa"/>
                                      <w:right w:w="0" w:type="dxa"/>
                                    </w:tblCellMar>
                                    <w:tblLook w:val="04A0" w:firstRow="1" w:lastRow="0" w:firstColumn="1" w:lastColumn="0" w:noHBand="0" w:noVBand="1"/>
                                  </w:tblPr>
                                  <w:tblGrid>
                                    <w:gridCol w:w="23"/>
                                    <w:gridCol w:w="699"/>
                                    <w:gridCol w:w="676"/>
                                    <w:gridCol w:w="23"/>
                                    <w:gridCol w:w="699"/>
                                    <w:gridCol w:w="699"/>
                                    <w:gridCol w:w="699"/>
                                    <w:gridCol w:w="699"/>
                                    <w:gridCol w:w="699"/>
                                  </w:tblGrid>
                                  <w:tr w:rsidR="008D0391" w:rsidRPr="006F31C1" w14:paraId="262DD0F9" w14:textId="77777777" w:rsidTr="00CD7EA5">
                                    <w:trPr>
                                      <w:trHeight w:val="168"/>
                                    </w:trPr>
                                    <w:tc>
                                      <w:tcPr>
                                        <w:tcW w:w="1398" w:type="dxa"/>
                                        <w:gridSpan w:val="3"/>
                                        <w:shd w:val="clear" w:color="auto" w:fill="auto"/>
                                        <w:vAlign w:val="bottom"/>
                                      </w:tcPr>
                                      <w:p w14:paraId="2184AA1D" w14:textId="53239D0F" w:rsidR="008D0391" w:rsidRPr="006F31C1" w:rsidRDefault="008D0391" w:rsidP="00807759">
                                        <w:pPr>
                                          <w:autoSpaceDE w:val="0"/>
                                          <w:autoSpaceDN w:val="0"/>
                                          <w:adjustRightInd w:val="0"/>
                                          <w:jc w:val="left"/>
                                          <w:rPr>
                                            <w:rFonts w:cs="Arial"/>
                                            <w:b/>
                                            <w:i/>
                                            <w:color w:val="006747"/>
                                            <w:sz w:val="16"/>
                                            <w:szCs w:val="16"/>
                                          </w:rPr>
                                        </w:pPr>
                                        <w:r w:rsidRPr="00B4123F">
                                          <w:rPr>
                                            <w:rFonts w:ascii="Gill Sans MT" w:hAnsi="Gill Sans MT" w:cs="Arial"/>
                                            <w:b/>
                                            <w:bCs/>
                                            <w:i/>
                                            <w:iCs/>
                                            <w:color w:val="006747"/>
                                            <w:sz w:val="16"/>
                                            <w:szCs w:val="16"/>
                                            <w:lang w:val="it-IT"/>
                                          </w:rPr>
                                          <w:t>Rischio più basso</w:t>
                                        </w:r>
                                      </w:p>
                                    </w:tc>
                                    <w:tc>
                                      <w:tcPr>
                                        <w:tcW w:w="23" w:type="dxa"/>
                                        <w:shd w:val="clear" w:color="auto" w:fill="auto"/>
                                        <w:vAlign w:val="bottom"/>
                                      </w:tcPr>
                                      <w:p w14:paraId="797EDF04" w14:textId="77777777" w:rsidR="008D0391" w:rsidRPr="006F31C1" w:rsidRDefault="008D0391" w:rsidP="005E7E5A">
                                        <w:pPr>
                                          <w:autoSpaceDE w:val="0"/>
                                          <w:autoSpaceDN w:val="0"/>
                                          <w:adjustRightInd w:val="0"/>
                                          <w:jc w:val="center"/>
                                          <w:rPr>
                                            <w:rFonts w:cs="Arial"/>
                                            <w:b/>
                                            <w:i/>
                                            <w:color w:val="8C8984"/>
                                            <w:sz w:val="16"/>
                                            <w:szCs w:val="16"/>
                                          </w:rPr>
                                        </w:pPr>
                                      </w:p>
                                    </w:tc>
                                    <w:tc>
                                      <w:tcPr>
                                        <w:tcW w:w="699" w:type="dxa"/>
                                        <w:shd w:val="clear" w:color="auto" w:fill="auto"/>
                                        <w:vAlign w:val="bottom"/>
                                      </w:tcPr>
                                      <w:p w14:paraId="133E9D68" w14:textId="77777777" w:rsidR="008D0391" w:rsidRPr="006F31C1" w:rsidRDefault="008D0391" w:rsidP="005E7E5A">
                                        <w:pPr>
                                          <w:autoSpaceDE w:val="0"/>
                                          <w:autoSpaceDN w:val="0"/>
                                          <w:adjustRightInd w:val="0"/>
                                          <w:jc w:val="center"/>
                                          <w:rPr>
                                            <w:rFonts w:cs="Arial"/>
                                            <w:i/>
                                            <w:color w:val="8C8984"/>
                                            <w:sz w:val="16"/>
                                            <w:szCs w:val="16"/>
                                          </w:rPr>
                                        </w:pPr>
                                      </w:p>
                                    </w:tc>
                                    <w:tc>
                                      <w:tcPr>
                                        <w:tcW w:w="699" w:type="dxa"/>
                                        <w:shd w:val="clear" w:color="auto" w:fill="auto"/>
                                        <w:vAlign w:val="bottom"/>
                                      </w:tcPr>
                                      <w:p w14:paraId="6429697C" w14:textId="77777777" w:rsidR="008D0391" w:rsidRPr="006F31C1" w:rsidRDefault="008D0391" w:rsidP="005E7E5A">
                                        <w:pPr>
                                          <w:autoSpaceDE w:val="0"/>
                                          <w:autoSpaceDN w:val="0"/>
                                          <w:adjustRightInd w:val="0"/>
                                          <w:jc w:val="center"/>
                                          <w:rPr>
                                            <w:rFonts w:cs="Arial"/>
                                            <w:i/>
                                            <w:color w:val="8C8984"/>
                                            <w:sz w:val="16"/>
                                            <w:szCs w:val="16"/>
                                          </w:rPr>
                                        </w:pPr>
                                      </w:p>
                                    </w:tc>
                                    <w:tc>
                                      <w:tcPr>
                                        <w:tcW w:w="699" w:type="dxa"/>
                                        <w:shd w:val="clear" w:color="auto" w:fill="auto"/>
                                        <w:vAlign w:val="bottom"/>
                                      </w:tcPr>
                                      <w:p w14:paraId="23C0978F" w14:textId="77777777" w:rsidR="008D0391" w:rsidRPr="006F31C1" w:rsidRDefault="008D0391" w:rsidP="005E7E5A">
                                        <w:pPr>
                                          <w:autoSpaceDE w:val="0"/>
                                          <w:autoSpaceDN w:val="0"/>
                                          <w:adjustRightInd w:val="0"/>
                                          <w:jc w:val="center"/>
                                          <w:rPr>
                                            <w:rFonts w:cs="Arial"/>
                                            <w:i/>
                                            <w:color w:val="8C8984"/>
                                            <w:sz w:val="16"/>
                                            <w:szCs w:val="16"/>
                                          </w:rPr>
                                        </w:pPr>
                                      </w:p>
                                    </w:tc>
                                    <w:tc>
                                      <w:tcPr>
                                        <w:tcW w:w="1398" w:type="dxa"/>
                                        <w:gridSpan w:val="2"/>
                                        <w:shd w:val="clear" w:color="auto" w:fill="auto"/>
                                        <w:vAlign w:val="bottom"/>
                                      </w:tcPr>
                                      <w:p w14:paraId="760E85BE" w14:textId="4CAB4679" w:rsidR="008D0391" w:rsidRPr="006F31C1" w:rsidRDefault="008D0391" w:rsidP="005E7E5A">
                                        <w:pPr>
                                          <w:autoSpaceDE w:val="0"/>
                                          <w:autoSpaceDN w:val="0"/>
                                          <w:adjustRightInd w:val="0"/>
                                          <w:jc w:val="center"/>
                                          <w:rPr>
                                            <w:rFonts w:cs="Arial"/>
                                            <w:b/>
                                            <w:i/>
                                            <w:color w:val="006747"/>
                                            <w:sz w:val="16"/>
                                            <w:szCs w:val="16"/>
                                          </w:rPr>
                                        </w:pPr>
                                        <w:r w:rsidRPr="00B4123F">
                                          <w:rPr>
                                            <w:rFonts w:ascii="Gill Sans MT" w:hAnsi="Gill Sans MT" w:cs="Arial"/>
                                            <w:b/>
                                            <w:bCs/>
                                            <w:i/>
                                            <w:iCs/>
                                            <w:color w:val="006747"/>
                                            <w:sz w:val="16"/>
                                            <w:szCs w:val="16"/>
                                            <w:lang w:val="it-IT"/>
                                          </w:rPr>
                                          <w:t>Rischio più elevato</w:t>
                                        </w:r>
                                      </w:p>
                                    </w:tc>
                                  </w:tr>
                                  <w:tr w:rsidR="008D0391" w:rsidRPr="006F31C1" w14:paraId="7E4321A5" w14:textId="77777777" w:rsidTr="00CD7EA5">
                                    <w:trPr>
                                      <w:trHeight w:val="20"/>
                                    </w:trPr>
                                    <w:tc>
                                      <w:tcPr>
                                        <w:tcW w:w="2120" w:type="dxa"/>
                                        <w:gridSpan w:val="5"/>
                                        <w:shd w:val="clear" w:color="auto" w:fill="auto"/>
                                        <w:vAlign w:val="bottom"/>
                                      </w:tcPr>
                                      <w:p w14:paraId="46B6992D" w14:textId="77777777" w:rsidR="008D0391" w:rsidRPr="006F31C1" w:rsidRDefault="008D0391" w:rsidP="005E7E5A">
                                        <w:pPr>
                                          <w:autoSpaceDE w:val="0"/>
                                          <w:autoSpaceDN w:val="0"/>
                                          <w:adjustRightInd w:val="0"/>
                                          <w:jc w:val="center"/>
                                          <w:rPr>
                                            <w:rFonts w:cs="Arial"/>
                                            <w:b/>
                                            <w:i/>
                                            <w:color w:val="006747"/>
                                            <w:sz w:val="10"/>
                                            <w:szCs w:val="10"/>
                                          </w:rPr>
                                        </w:pPr>
                                      </w:p>
                                      <w:p w14:paraId="661F4071" w14:textId="7F4BA97B" w:rsidR="008D0391" w:rsidRPr="006F31C1" w:rsidRDefault="008D0391" w:rsidP="00CD7EA5">
                                        <w:pPr>
                                          <w:autoSpaceDE w:val="0"/>
                                          <w:autoSpaceDN w:val="0"/>
                                          <w:adjustRightInd w:val="0"/>
                                          <w:spacing w:line="240" w:lineRule="auto"/>
                                          <w:jc w:val="left"/>
                                          <w:rPr>
                                            <w:rFonts w:cs="Arial"/>
                                            <w:i/>
                                            <w:color w:val="8C8984"/>
                                            <w:sz w:val="16"/>
                                            <w:szCs w:val="16"/>
                                          </w:rPr>
                                        </w:pPr>
                                        <w:r>
                                          <w:rPr>
                                            <w:rFonts w:ascii="Gill Sans MT" w:hAnsi="Gill Sans MT" w:cs="Arial"/>
                                            <w:b/>
                                            <w:bCs/>
                                            <w:i/>
                                            <w:iCs/>
                                            <w:color w:val="006747"/>
                                            <w:sz w:val="16"/>
                                            <w:szCs w:val="16"/>
                                            <w:lang w:val="it-IT"/>
                                          </w:rPr>
                                          <w:t xml:space="preserve">Rendimento normalmente  </w:t>
                                        </w:r>
                                        <w:r w:rsidRPr="00F632C8">
                                          <w:rPr>
                                            <w:rFonts w:ascii="Gill Sans MT" w:hAnsi="Gill Sans MT" w:cs="Arial"/>
                                            <w:i/>
                                            <w:color w:val="8C8984"/>
                                            <w:sz w:val="16"/>
                                            <w:szCs w:val="16"/>
                                            <w:lang w:val="it-IT"/>
                                          </w:rPr>
                                          <w:t xml:space="preserve">           </w:t>
                                        </w:r>
                                        <w:r>
                                          <w:rPr>
                                            <w:rFonts w:ascii="Gill Sans MT" w:hAnsi="Gill Sans MT" w:cs="Arial"/>
                                            <w:i/>
                                            <w:color w:val="8C8984"/>
                                            <w:sz w:val="16"/>
                                            <w:szCs w:val="16"/>
                                            <w:lang w:val="it-IT"/>
                                          </w:rPr>
                                          <w:br/>
                                        </w:r>
                                        <w:r>
                                          <w:rPr>
                                            <w:rFonts w:ascii="Gill Sans MT" w:hAnsi="Gill Sans MT" w:cs="Arial"/>
                                            <w:b/>
                                            <w:bCs/>
                                            <w:i/>
                                            <w:iCs/>
                                            <w:color w:val="006747"/>
                                            <w:sz w:val="16"/>
                                            <w:szCs w:val="16"/>
                                            <w:lang w:val="it-IT"/>
                                          </w:rPr>
                                          <w:t>più</w:t>
                                        </w:r>
                                        <w:r w:rsidRPr="00CD7EA5">
                                          <w:rPr>
                                            <w:rFonts w:ascii="Gill Sans MT" w:hAnsi="Gill Sans MT" w:cs="Arial"/>
                                            <w:b/>
                                            <w:bCs/>
                                            <w:i/>
                                            <w:color w:val="006747"/>
                                            <w:sz w:val="16"/>
                                            <w:szCs w:val="16"/>
                                            <w:lang w:val="it-IT"/>
                                          </w:rPr>
                                          <w:t xml:space="preserve"> basso</w:t>
                                        </w:r>
                                      </w:p>
                                    </w:tc>
                                    <w:tc>
                                      <w:tcPr>
                                        <w:tcW w:w="699" w:type="dxa"/>
                                        <w:shd w:val="clear" w:color="auto" w:fill="auto"/>
                                        <w:vAlign w:val="bottom"/>
                                      </w:tcPr>
                                      <w:p w14:paraId="57F81ADF" w14:textId="77777777" w:rsidR="008D0391" w:rsidRPr="006F31C1" w:rsidRDefault="008D0391" w:rsidP="005E7E5A">
                                        <w:pPr>
                                          <w:autoSpaceDE w:val="0"/>
                                          <w:autoSpaceDN w:val="0"/>
                                          <w:adjustRightInd w:val="0"/>
                                          <w:jc w:val="center"/>
                                          <w:rPr>
                                            <w:rFonts w:cs="Arial"/>
                                            <w:i/>
                                            <w:color w:val="8C8984"/>
                                            <w:sz w:val="16"/>
                                            <w:szCs w:val="16"/>
                                          </w:rPr>
                                        </w:pPr>
                                      </w:p>
                                    </w:tc>
                                    <w:tc>
                                      <w:tcPr>
                                        <w:tcW w:w="2097" w:type="dxa"/>
                                        <w:gridSpan w:val="3"/>
                                        <w:shd w:val="clear" w:color="auto" w:fill="auto"/>
                                        <w:vAlign w:val="bottom"/>
                                      </w:tcPr>
                                      <w:p w14:paraId="642BC576" w14:textId="14B1C3B4" w:rsidR="008D0391" w:rsidRPr="006F31C1" w:rsidRDefault="008D0391" w:rsidP="00CD7EA5">
                                        <w:pPr>
                                          <w:autoSpaceDE w:val="0"/>
                                          <w:autoSpaceDN w:val="0"/>
                                          <w:adjustRightInd w:val="0"/>
                                          <w:spacing w:line="240" w:lineRule="auto"/>
                                          <w:jc w:val="right"/>
                                          <w:rPr>
                                            <w:rFonts w:cs="Arial"/>
                                            <w:b/>
                                            <w:i/>
                                            <w:color w:val="006747"/>
                                            <w:sz w:val="16"/>
                                            <w:szCs w:val="16"/>
                                          </w:rPr>
                                        </w:pPr>
                                        <w:r w:rsidRPr="00B4123F">
                                          <w:rPr>
                                            <w:rFonts w:ascii="Gill Sans MT" w:hAnsi="Gill Sans MT" w:cs="Arial"/>
                                            <w:b/>
                                            <w:bCs/>
                                            <w:i/>
                                            <w:iCs/>
                                            <w:color w:val="006747"/>
                                            <w:sz w:val="16"/>
                                            <w:szCs w:val="16"/>
                                            <w:lang w:val="it-IT"/>
                                          </w:rPr>
                                          <w:t>Rendimento normalmente più</w:t>
                                        </w:r>
                                        <w:r>
                                          <w:rPr>
                                            <w:rFonts w:ascii="Gill Sans MT" w:hAnsi="Gill Sans MT" w:cs="Arial"/>
                                            <w:b/>
                                            <w:bCs/>
                                            <w:i/>
                                            <w:iCs/>
                                            <w:color w:val="006747"/>
                                            <w:sz w:val="16"/>
                                            <w:szCs w:val="16"/>
                                            <w:lang w:val="it-IT"/>
                                          </w:rPr>
                                          <w:t xml:space="preserve"> elevato</w:t>
                                        </w:r>
                                        <w:r w:rsidRPr="00B4123F">
                                          <w:rPr>
                                            <w:rFonts w:ascii="Gill Sans MT" w:hAnsi="Gill Sans MT" w:cs="Arial"/>
                                            <w:b/>
                                            <w:bCs/>
                                            <w:i/>
                                            <w:iCs/>
                                            <w:color w:val="006747"/>
                                            <w:sz w:val="16"/>
                                            <w:szCs w:val="16"/>
                                            <w:lang w:val="it-IT"/>
                                          </w:rPr>
                                          <w:t xml:space="preserve"> </w:t>
                                        </w:r>
                                        <w:r>
                                          <w:rPr>
                                            <w:rFonts w:ascii="Gill Sans MT" w:hAnsi="Gill Sans MT" w:cs="Arial"/>
                                            <w:b/>
                                            <w:bCs/>
                                            <w:i/>
                                            <w:iCs/>
                                            <w:color w:val="006747"/>
                                            <w:sz w:val="16"/>
                                            <w:szCs w:val="16"/>
                                            <w:lang w:val="it-IT"/>
                                          </w:rPr>
                                          <w:t xml:space="preserve">   </w:t>
                                        </w:r>
                                      </w:p>
                                    </w:tc>
                                  </w:tr>
                                  <w:tr w:rsidR="008D0391" w:rsidRPr="006F31C1" w14:paraId="1BFF7AA0" w14:textId="77777777" w:rsidTr="00CD7EA5">
                                    <w:tblPrEx>
                                      <w:tblBorders>
                                        <w:top w:val="none" w:sz="0" w:space="0" w:color="auto"/>
                                        <w:bottom w:val="none" w:sz="0" w:space="0" w:color="auto"/>
                                        <w:insideV w:val="single" w:sz="12" w:space="0" w:color="5696BC"/>
                                      </w:tblBorders>
                                    </w:tblPrEx>
                                    <w:trPr>
                                      <w:gridBefore w:val="1"/>
                                      <w:wBefore w:w="23" w:type="dxa"/>
                                      <w:trHeight w:val="402"/>
                                    </w:trPr>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706EB8B7"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1</w:t>
                                        </w:r>
                                      </w:p>
                                    </w:tc>
                                    <w:tc>
                                      <w:tcPr>
                                        <w:tcW w:w="699" w:type="dxa"/>
                                        <w:gridSpan w:val="2"/>
                                        <w:tcBorders>
                                          <w:top w:val="single" w:sz="18" w:space="0" w:color="FFFFFF"/>
                                          <w:left w:val="single" w:sz="18" w:space="0" w:color="FFFFFF"/>
                                          <w:bottom w:val="single" w:sz="18" w:space="0" w:color="FFFFFF"/>
                                          <w:right w:val="single" w:sz="18" w:space="0" w:color="FFFFFF"/>
                                        </w:tcBorders>
                                        <w:shd w:val="clear" w:color="auto" w:fill="CCE1DA"/>
                                        <w:vAlign w:val="center"/>
                                      </w:tcPr>
                                      <w:p w14:paraId="62B13565"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2</w:t>
                                        </w:r>
                                      </w:p>
                                    </w:tc>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435A59B4"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3</w:t>
                                        </w:r>
                                      </w:p>
                                    </w:tc>
                                    <w:tc>
                                      <w:tcPr>
                                        <w:tcW w:w="699" w:type="dxa"/>
                                        <w:tcBorders>
                                          <w:top w:val="single" w:sz="18" w:space="0" w:color="FFFFFF"/>
                                          <w:left w:val="single" w:sz="18" w:space="0" w:color="FFFFFF"/>
                                          <w:bottom w:val="single" w:sz="18" w:space="0" w:color="FFFFFF"/>
                                          <w:right w:val="single" w:sz="18" w:space="0" w:color="FFFFFF"/>
                                        </w:tcBorders>
                                        <w:shd w:val="clear" w:color="auto" w:fill="006747"/>
                                        <w:vAlign w:val="center"/>
                                      </w:tcPr>
                                      <w:p w14:paraId="7C302B73" w14:textId="77777777" w:rsidR="008D0391" w:rsidRPr="006F31C1" w:rsidRDefault="008D0391" w:rsidP="005E7E5A">
                                        <w:pPr>
                                          <w:autoSpaceDE w:val="0"/>
                                          <w:autoSpaceDN w:val="0"/>
                                          <w:adjustRightInd w:val="0"/>
                                          <w:spacing w:before="80" w:after="60"/>
                                          <w:jc w:val="center"/>
                                          <w:rPr>
                                            <w:rFonts w:cs="Arial"/>
                                            <w:b/>
                                            <w:color w:val="FFFFFF"/>
                                            <w:szCs w:val="16"/>
                                          </w:rPr>
                                        </w:pPr>
                                        <w:r w:rsidRPr="006F31C1">
                                          <w:rPr>
                                            <w:rFonts w:cs="Arial"/>
                                            <w:b/>
                                            <w:color w:val="FFFFFF"/>
                                            <w:szCs w:val="16"/>
                                          </w:rPr>
                                          <w:t>4</w:t>
                                        </w:r>
                                      </w:p>
                                    </w:tc>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5EFFCB8B"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5</w:t>
                                        </w:r>
                                      </w:p>
                                    </w:tc>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16307B93"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6</w:t>
                                        </w:r>
                                      </w:p>
                                    </w:tc>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5D017557"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7</w:t>
                                        </w:r>
                                      </w:p>
                                    </w:tc>
                                  </w:tr>
                                </w:tbl>
                                <w:p w14:paraId="331014CE" w14:textId="77777777" w:rsidR="008D0391" w:rsidRPr="00543AB0" w:rsidRDefault="008D0391" w:rsidP="005E7E5A">
                                  <w:pPr>
                                    <w:tabs>
                                      <w:tab w:val="left" w:pos="2268"/>
                                    </w:tabs>
                                    <w:autoSpaceDE w:val="0"/>
                                    <w:autoSpaceDN w:val="0"/>
                                    <w:adjustRightInd w:val="0"/>
                                    <w:spacing w:before="80" w:after="60"/>
                                    <w:rPr>
                                      <w:rFonts w:ascii="Gill Sans MT" w:hAnsi="Gill Sans MT"/>
                                      <w:color w:val="FFFFFF"/>
                                      <w:sz w:val="16"/>
                                      <w:szCs w:val="16"/>
                                    </w:rPr>
                                  </w:pPr>
                                </w:p>
                              </w:tc>
                            </w:tr>
                          </w:tbl>
                          <w:p w14:paraId="21D7440D" w14:textId="683C4746" w:rsidR="008D0391" w:rsidRPr="00571D88" w:rsidRDefault="008D0391" w:rsidP="00807759">
                            <w:pPr>
                              <w:pStyle w:val="KIIDtext1"/>
                              <w:spacing w:line="230" w:lineRule="exact"/>
                              <w:rPr>
                                <w:sz w:val="17"/>
                                <w:lang w:val="it-IT"/>
                              </w:rPr>
                            </w:pPr>
                            <w:r w:rsidRPr="00571D88">
                              <w:rPr>
                                <w:sz w:val="17"/>
                                <w:szCs w:val="17"/>
                                <w:lang w:val="it-IT"/>
                              </w:rPr>
                              <w:t>Il Fondo appartiene alla categoria di rischio 4 ai fini di questa tabella dati gli investimenti in obbligazioni convertibili e l’uso di  FDI. Ciò significa che il rischio del Fondo è normalmente più elevato rispetto a quello degli strumenti a tasso fisso ma inferiore a quello degli strumenti azionari</w:t>
                            </w:r>
                            <w:r w:rsidRPr="00571D88">
                              <w:rPr>
                                <w:sz w:val="17"/>
                                <w:lang w:val="it-IT"/>
                              </w:rPr>
                              <w:t xml:space="preserve">. </w:t>
                            </w:r>
                          </w:p>
                          <w:p w14:paraId="5A5A5B79" w14:textId="04F083EB" w:rsidR="008D0391" w:rsidRPr="00571D88" w:rsidRDefault="008D0391" w:rsidP="00CD7EA5">
                            <w:pPr>
                              <w:pStyle w:val="KIIDtext1"/>
                              <w:spacing w:line="230" w:lineRule="exact"/>
                              <w:rPr>
                                <w:sz w:val="17"/>
                                <w:lang w:val="it-IT"/>
                              </w:rPr>
                            </w:pPr>
                            <w:r w:rsidRPr="00571D88">
                              <w:rPr>
                                <w:sz w:val="17"/>
                                <w:lang w:val="it-IT"/>
                              </w:rPr>
                              <w:t>Come le obbligazioni convertibili e i mercati azionari, il Fondo può subire di tanto in tanto delle riduzioni di prezzo. Benché il Fondo tenti di ridurre il rischio investendo in una gamma diversificata di asset, tale diversificazione non elimina il rischio.</w:t>
                            </w:r>
                          </w:p>
                          <w:p w14:paraId="57740600" w14:textId="14C218FD" w:rsidR="008D0391" w:rsidRPr="00571D88" w:rsidRDefault="008D0391" w:rsidP="00CD7EA5">
                            <w:pPr>
                              <w:pStyle w:val="KIIDtext1"/>
                              <w:spacing w:line="230" w:lineRule="exact"/>
                              <w:rPr>
                                <w:sz w:val="17"/>
                                <w:lang w:val="it-IT"/>
                              </w:rPr>
                            </w:pPr>
                            <w:r w:rsidRPr="00571D88">
                              <w:rPr>
                                <w:sz w:val="17"/>
                                <w:lang w:val="it-IT"/>
                              </w:rPr>
                              <w:t>L’indicatore di rischio e rendimento è stato calcolato in base a dati storici e potrebbe non costituire un’indicazione affidabile del futuro profilo di rischio del Fondo.</w:t>
                            </w:r>
                          </w:p>
                          <w:p w14:paraId="19170E10" w14:textId="1CE2F924" w:rsidR="008D0391" w:rsidRPr="00571D88" w:rsidRDefault="008D0391" w:rsidP="00CD7EA5">
                            <w:pPr>
                              <w:pStyle w:val="KIIDtext1"/>
                              <w:spacing w:line="230" w:lineRule="exact"/>
                              <w:rPr>
                                <w:sz w:val="17"/>
                                <w:lang w:val="it-IT"/>
                              </w:rPr>
                            </w:pPr>
                            <w:r w:rsidRPr="00571D88">
                              <w:rPr>
                                <w:sz w:val="17"/>
                                <w:lang w:val="it-IT"/>
                              </w:rPr>
                              <w:t>La categoria di rischio e di rendimento mostrata non è garantita e potrebbe variare nel tempo. La categoria più bassa non significa un investimento esente da rischi.</w:t>
                            </w:r>
                          </w:p>
                          <w:p w14:paraId="4F759B39" w14:textId="136C0A5C" w:rsidR="008D0391" w:rsidRPr="00807759" w:rsidRDefault="008D0391" w:rsidP="00CD7EA5">
                            <w:pPr>
                              <w:pStyle w:val="KIIDtext1"/>
                              <w:spacing w:line="230" w:lineRule="exact"/>
                              <w:rPr>
                                <w:sz w:val="17"/>
                                <w:lang w:val="it-IT"/>
                              </w:rPr>
                            </w:pPr>
                            <w:r w:rsidRPr="00571D88">
                              <w:rPr>
                                <w:sz w:val="17"/>
                                <w:lang w:val="it-IT"/>
                              </w:rPr>
                              <w:t>Il prezzo del Fondo può variare e di</w:t>
                            </w:r>
                            <w:r w:rsidRPr="00807759">
                              <w:rPr>
                                <w:sz w:val="17"/>
                                <w:lang w:val="it-IT"/>
                              </w:rPr>
                              <w:t xml:space="preserve"> conseguenza si potrebbe non ottenere l’importo investito in origine.</w:t>
                            </w:r>
                          </w:p>
                          <w:p w14:paraId="5E146FE5" w14:textId="5E5632B1" w:rsidR="008D0391" w:rsidRPr="00807759" w:rsidRDefault="008D0391" w:rsidP="00807759">
                            <w:pPr>
                              <w:pStyle w:val="KIIDtext1"/>
                              <w:spacing w:after="80" w:line="230" w:lineRule="exact"/>
                              <w:rPr>
                                <w:rFonts w:cs="Arial"/>
                                <w:b/>
                                <w:sz w:val="17"/>
                                <w:lang w:val="it-IT"/>
                              </w:rPr>
                            </w:pPr>
                            <w:r w:rsidRPr="00807759">
                              <w:rPr>
                                <w:rFonts w:cs="Arial"/>
                                <w:b/>
                                <w:sz w:val="17"/>
                                <w:lang w:val="it-IT"/>
                              </w:rPr>
                              <w:t>Altri rischi materiali</w:t>
                            </w:r>
                          </w:p>
                          <w:p w14:paraId="51158BAB" w14:textId="54BA4B16" w:rsidR="008D0391" w:rsidRPr="00807759" w:rsidRDefault="008D0391" w:rsidP="00807759">
                            <w:pPr>
                              <w:pStyle w:val="KIIDtext1"/>
                              <w:numPr>
                                <w:ilvl w:val="0"/>
                                <w:numId w:val="5"/>
                              </w:numPr>
                              <w:spacing w:line="230" w:lineRule="exact"/>
                              <w:rPr>
                                <w:rFonts w:cs="Arial"/>
                                <w:sz w:val="17"/>
                                <w:lang w:val="it-IT"/>
                              </w:rPr>
                            </w:pPr>
                            <w:r w:rsidRPr="00807759">
                              <w:rPr>
                                <w:rFonts w:cs="Arial"/>
                                <w:b/>
                                <w:bCs/>
                                <w:sz w:val="17"/>
                                <w:lang w:val="it-IT"/>
                              </w:rPr>
                              <w:t>Rischio di credito/controparte</w:t>
                            </w:r>
                            <w:r w:rsidRPr="00807759">
                              <w:rPr>
                                <w:rFonts w:cs="Arial"/>
                                <w:sz w:val="17"/>
                                <w:lang w:val="it-IT"/>
                              </w:rPr>
                              <w:t>: una parte o un emittente che effettua una transazione con il Fondo potrebbe non ottemperare ai suoi obblighi, causando delle perdite.</w:t>
                            </w:r>
                          </w:p>
                          <w:p w14:paraId="5C2434DC" w14:textId="77777777" w:rsidR="008D0391" w:rsidRPr="00544424" w:rsidRDefault="008D0391" w:rsidP="00CD7EA5">
                            <w:pPr>
                              <w:pStyle w:val="KIIDtext1"/>
                              <w:spacing w:line="230" w:lineRule="exact"/>
                              <w:rPr>
                                <w:sz w:val="17"/>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53EE3" id="_x0000_s1032" type="#_x0000_t202" style="position:absolute;margin-left:-42.95pt;margin-top:354.5pt;width:271pt;height:367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" stroked="f">
                <v:textbox>
                  <w:txbxContent>
                    <w:tbl>
                      <w:tblPr>
                        <w:tblW w:w="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4985"/>
                      </w:tblGrid>
                      <w:tr w:rsidR="008D0391" w:rsidRPr="00543AB0" w14:paraId="0AFB0406" w14:textId="77777777" w:rsidTr="005E7E5A">
                        <w:tc>
                          <w:tcPr>
                            <w:tcW w:w="4939" w:type="dxa"/>
                            <w:tcBorders>
                              <w:top w:val="nil"/>
                              <w:left w:val="nil"/>
                              <w:bottom w:val="nil"/>
                              <w:right w:val="nil"/>
                            </w:tcBorders>
                            <w:shd w:val="clear" w:color="auto" w:fill="auto"/>
                          </w:tcPr>
                          <w:tbl>
                            <w:tblPr>
                              <w:tblW w:w="4916" w:type="dxa"/>
                              <w:tblInd w:w="23" w:type="dxa"/>
                              <w:tblBorders>
                                <w:top w:val="single" w:sz="18" w:space="0" w:color="FFFFFF"/>
                                <w:bottom w:val="single" w:sz="18" w:space="0" w:color="FFFFFF"/>
                              </w:tblBorders>
                              <w:shd w:val="clear" w:color="auto" w:fill="FFFFFF"/>
                              <w:tblCellMar>
                                <w:top w:w="85" w:type="dxa"/>
                                <w:left w:w="0" w:type="dxa"/>
                                <w:right w:w="0" w:type="dxa"/>
                              </w:tblCellMar>
                              <w:tblLook w:val="04A0" w:firstRow="1" w:lastRow="0" w:firstColumn="1" w:lastColumn="0" w:noHBand="0" w:noVBand="1"/>
                            </w:tblPr>
                            <w:tblGrid>
                              <w:gridCol w:w="23"/>
                              <w:gridCol w:w="699"/>
                              <w:gridCol w:w="676"/>
                              <w:gridCol w:w="23"/>
                              <w:gridCol w:w="699"/>
                              <w:gridCol w:w="699"/>
                              <w:gridCol w:w="699"/>
                              <w:gridCol w:w="699"/>
                              <w:gridCol w:w="699"/>
                            </w:tblGrid>
                            <w:tr w:rsidR="008D0391" w:rsidRPr="006F31C1" w14:paraId="262DD0F9" w14:textId="77777777" w:rsidTr="00CD7EA5">
                              <w:trPr>
                                <w:trHeight w:val="168"/>
                              </w:trPr>
                              <w:tc>
                                <w:tcPr>
                                  <w:tcW w:w="1398" w:type="dxa"/>
                                  <w:gridSpan w:val="3"/>
                                  <w:shd w:val="clear" w:color="auto" w:fill="auto"/>
                                  <w:vAlign w:val="bottom"/>
                                </w:tcPr>
                                <w:p w14:paraId="2184AA1D" w14:textId="53239D0F" w:rsidR="008D0391" w:rsidRPr="006F31C1" w:rsidRDefault="008D0391" w:rsidP="00807759">
                                  <w:pPr>
                                    <w:autoSpaceDE w:val="0"/>
                                    <w:autoSpaceDN w:val="0"/>
                                    <w:adjustRightInd w:val="0"/>
                                    <w:jc w:val="left"/>
                                    <w:rPr>
                                      <w:rFonts w:cs="Arial"/>
                                      <w:b/>
                                      <w:i/>
                                      <w:color w:val="006747"/>
                                      <w:sz w:val="16"/>
                                      <w:szCs w:val="16"/>
                                    </w:rPr>
                                  </w:pPr>
                                  <w:r w:rsidRPr="00B4123F">
                                    <w:rPr>
                                      <w:rFonts w:ascii="Gill Sans MT" w:hAnsi="Gill Sans MT" w:cs="Arial"/>
                                      <w:b/>
                                      <w:bCs/>
                                      <w:i/>
                                      <w:iCs/>
                                      <w:color w:val="006747"/>
                                      <w:sz w:val="16"/>
                                      <w:szCs w:val="16"/>
                                      <w:lang w:val="it-IT"/>
                                    </w:rPr>
                                    <w:t>Rischio più basso</w:t>
                                  </w:r>
                                </w:p>
                              </w:tc>
                              <w:tc>
                                <w:tcPr>
                                  <w:tcW w:w="23" w:type="dxa"/>
                                  <w:shd w:val="clear" w:color="auto" w:fill="auto"/>
                                  <w:vAlign w:val="bottom"/>
                                </w:tcPr>
                                <w:p w14:paraId="797EDF04" w14:textId="77777777" w:rsidR="008D0391" w:rsidRPr="006F31C1" w:rsidRDefault="008D0391" w:rsidP="005E7E5A">
                                  <w:pPr>
                                    <w:autoSpaceDE w:val="0"/>
                                    <w:autoSpaceDN w:val="0"/>
                                    <w:adjustRightInd w:val="0"/>
                                    <w:jc w:val="center"/>
                                    <w:rPr>
                                      <w:rFonts w:cs="Arial"/>
                                      <w:b/>
                                      <w:i/>
                                      <w:color w:val="8C8984"/>
                                      <w:sz w:val="16"/>
                                      <w:szCs w:val="16"/>
                                    </w:rPr>
                                  </w:pPr>
                                </w:p>
                              </w:tc>
                              <w:tc>
                                <w:tcPr>
                                  <w:tcW w:w="699" w:type="dxa"/>
                                  <w:shd w:val="clear" w:color="auto" w:fill="auto"/>
                                  <w:vAlign w:val="bottom"/>
                                </w:tcPr>
                                <w:p w14:paraId="133E9D68" w14:textId="77777777" w:rsidR="008D0391" w:rsidRPr="006F31C1" w:rsidRDefault="008D0391" w:rsidP="005E7E5A">
                                  <w:pPr>
                                    <w:autoSpaceDE w:val="0"/>
                                    <w:autoSpaceDN w:val="0"/>
                                    <w:adjustRightInd w:val="0"/>
                                    <w:jc w:val="center"/>
                                    <w:rPr>
                                      <w:rFonts w:cs="Arial"/>
                                      <w:i/>
                                      <w:color w:val="8C8984"/>
                                      <w:sz w:val="16"/>
                                      <w:szCs w:val="16"/>
                                    </w:rPr>
                                  </w:pPr>
                                </w:p>
                              </w:tc>
                              <w:tc>
                                <w:tcPr>
                                  <w:tcW w:w="699" w:type="dxa"/>
                                  <w:shd w:val="clear" w:color="auto" w:fill="auto"/>
                                  <w:vAlign w:val="bottom"/>
                                </w:tcPr>
                                <w:p w14:paraId="6429697C" w14:textId="77777777" w:rsidR="008D0391" w:rsidRPr="006F31C1" w:rsidRDefault="008D0391" w:rsidP="005E7E5A">
                                  <w:pPr>
                                    <w:autoSpaceDE w:val="0"/>
                                    <w:autoSpaceDN w:val="0"/>
                                    <w:adjustRightInd w:val="0"/>
                                    <w:jc w:val="center"/>
                                    <w:rPr>
                                      <w:rFonts w:cs="Arial"/>
                                      <w:i/>
                                      <w:color w:val="8C8984"/>
                                      <w:sz w:val="16"/>
                                      <w:szCs w:val="16"/>
                                    </w:rPr>
                                  </w:pPr>
                                </w:p>
                              </w:tc>
                              <w:tc>
                                <w:tcPr>
                                  <w:tcW w:w="699" w:type="dxa"/>
                                  <w:shd w:val="clear" w:color="auto" w:fill="auto"/>
                                  <w:vAlign w:val="bottom"/>
                                </w:tcPr>
                                <w:p w14:paraId="23C0978F" w14:textId="77777777" w:rsidR="008D0391" w:rsidRPr="006F31C1" w:rsidRDefault="008D0391" w:rsidP="005E7E5A">
                                  <w:pPr>
                                    <w:autoSpaceDE w:val="0"/>
                                    <w:autoSpaceDN w:val="0"/>
                                    <w:adjustRightInd w:val="0"/>
                                    <w:jc w:val="center"/>
                                    <w:rPr>
                                      <w:rFonts w:cs="Arial"/>
                                      <w:i/>
                                      <w:color w:val="8C8984"/>
                                      <w:sz w:val="16"/>
                                      <w:szCs w:val="16"/>
                                    </w:rPr>
                                  </w:pPr>
                                </w:p>
                              </w:tc>
                              <w:tc>
                                <w:tcPr>
                                  <w:tcW w:w="1398" w:type="dxa"/>
                                  <w:gridSpan w:val="2"/>
                                  <w:shd w:val="clear" w:color="auto" w:fill="auto"/>
                                  <w:vAlign w:val="bottom"/>
                                </w:tcPr>
                                <w:p w14:paraId="760E85BE" w14:textId="4CAB4679" w:rsidR="008D0391" w:rsidRPr="006F31C1" w:rsidRDefault="008D0391" w:rsidP="005E7E5A">
                                  <w:pPr>
                                    <w:autoSpaceDE w:val="0"/>
                                    <w:autoSpaceDN w:val="0"/>
                                    <w:adjustRightInd w:val="0"/>
                                    <w:jc w:val="center"/>
                                    <w:rPr>
                                      <w:rFonts w:cs="Arial"/>
                                      <w:b/>
                                      <w:i/>
                                      <w:color w:val="006747"/>
                                      <w:sz w:val="16"/>
                                      <w:szCs w:val="16"/>
                                    </w:rPr>
                                  </w:pPr>
                                  <w:r w:rsidRPr="00B4123F">
                                    <w:rPr>
                                      <w:rFonts w:ascii="Gill Sans MT" w:hAnsi="Gill Sans MT" w:cs="Arial"/>
                                      <w:b/>
                                      <w:bCs/>
                                      <w:i/>
                                      <w:iCs/>
                                      <w:color w:val="006747"/>
                                      <w:sz w:val="16"/>
                                      <w:szCs w:val="16"/>
                                      <w:lang w:val="it-IT"/>
                                    </w:rPr>
                                    <w:t>Rischio più elevato</w:t>
                                  </w:r>
                                </w:p>
                              </w:tc>
                            </w:tr>
                            <w:tr w:rsidR="008D0391" w:rsidRPr="006F31C1" w14:paraId="7E4321A5" w14:textId="77777777" w:rsidTr="00CD7EA5">
                              <w:trPr>
                                <w:trHeight w:val="20"/>
                              </w:trPr>
                              <w:tc>
                                <w:tcPr>
                                  <w:tcW w:w="2120" w:type="dxa"/>
                                  <w:gridSpan w:val="5"/>
                                  <w:shd w:val="clear" w:color="auto" w:fill="auto"/>
                                  <w:vAlign w:val="bottom"/>
                                </w:tcPr>
                                <w:p w14:paraId="46B6992D" w14:textId="77777777" w:rsidR="008D0391" w:rsidRPr="006F31C1" w:rsidRDefault="008D0391" w:rsidP="005E7E5A">
                                  <w:pPr>
                                    <w:autoSpaceDE w:val="0"/>
                                    <w:autoSpaceDN w:val="0"/>
                                    <w:adjustRightInd w:val="0"/>
                                    <w:jc w:val="center"/>
                                    <w:rPr>
                                      <w:rFonts w:cs="Arial"/>
                                      <w:b/>
                                      <w:i/>
                                      <w:color w:val="006747"/>
                                      <w:sz w:val="10"/>
                                      <w:szCs w:val="10"/>
                                    </w:rPr>
                                  </w:pPr>
                                </w:p>
                                <w:p w14:paraId="661F4071" w14:textId="7F4BA97B" w:rsidR="008D0391" w:rsidRPr="006F31C1" w:rsidRDefault="008D0391" w:rsidP="00CD7EA5">
                                  <w:pPr>
                                    <w:autoSpaceDE w:val="0"/>
                                    <w:autoSpaceDN w:val="0"/>
                                    <w:adjustRightInd w:val="0"/>
                                    <w:spacing w:line="240" w:lineRule="auto"/>
                                    <w:jc w:val="left"/>
                                    <w:rPr>
                                      <w:rFonts w:cs="Arial"/>
                                      <w:i/>
                                      <w:color w:val="8C8984"/>
                                      <w:sz w:val="16"/>
                                      <w:szCs w:val="16"/>
                                    </w:rPr>
                                  </w:pPr>
                                  <w:r>
                                    <w:rPr>
                                      <w:rFonts w:ascii="Gill Sans MT" w:hAnsi="Gill Sans MT" w:cs="Arial"/>
                                      <w:b/>
                                      <w:bCs/>
                                      <w:i/>
                                      <w:iCs/>
                                      <w:color w:val="006747"/>
                                      <w:sz w:val="16"/>
                                      <w:szCs w:val="16"/>
                                      <w:lang w:val="it-IT"/>
                                    </w:rPr>
                                    <w:t xml:space="preserve">Rendimento normalmente  </w:t>
                                  </w:r>
                                  <w:r w:rsidRPr="00F632C8">
                                    <w:rPr>
                                      <w:rFonts w:ascii="Gill Sans MT" w:hAnsi="Gill Sans MT" w:cs="Arial"/>
                                      <w:i/>
                                      <w:color w:val="8C8984"/>
                                      <w:sz w:val="16"/>
                                      <w:szCs w:val="16"/>
                                      <w:lang w:val="it-IT"/>
                                    </w:rPr>
                                    <w:t xml:space="preserve">           </w:t>
                                  </w:r>
                                  <w:r>
                                    <w:rPr>
                                      <w:rFonts w:ascii="Gill Sans MT" w:hAnsi="Gill Sans MT" w:cs="Arial"/>
                                      <w:i/>
                                      <w:color w:val="8C8984"/>
                                      <w:sz w:val="16"/>
                                      <w:szCs w:val="16"/>
                                      <w:lang w:val="it-IT"/>
                                    </w:rPr>
                                    <w:br/>
                                  </w:r>
                                  <w:r>
                                    <w:rPr>
                                      <w:rFonts w:ascii="Gill Sans MT" w:hAnsi="Gill Sans MT" w:cs="Arial"/>
                                      <w:b/>
                                      <w:bCs/>
                                      <w:i/>
                                      <w:iCs/>
                                      <w:color w:val="006747"/>
                                      <w:sz w:val="16"/>
                                      <w:szCs w:val="16"/>
                                      <w:lang w:val="it-IT"/>
                                    </w:rPr>
                                    <w:t>più</w:t>
                                  </w:r>
                                  <w:r w:rsidRPr="00CD7EA5">
                                    <w:rPr>
                                      <w:rFonts w:ascii="Gill Sans MT" w:hAnsi="Gill Sans MT" w:cs="Arial"/>
                                      <w:b/>
                                      <w:bCs/>
                                      <w:i/>
                                      <w:color w:val="006747"/>
                                      <w:sz w:val="16"/>
                                      <w:szCs w:val="16"/>
                                      <w:lang w:val="it-IT"/>
                                    </w:rPr>
                                    <w:t xml:space="preserve"> basso</w:t>
                                  </w:r>
                                </w:p>
                              </w:tc>
                              <w:tc>
                                <w:tcPr>
                                  <w:tcW w:w="699" w:type="dxa"/>
                                  <w:shd w:val="clear" w:color="auto" w:fill="auto"/>
                                  <w:vAlign w:val="bottom"/>
                                </w:tcPr>
                                <w:p w14:paraId="57F81ADF" w14:textId="77777777" w:rsidR="008D0391" w:rsidRPr="006F31C1" w:rsidRDefault="008D0391" w:rsidP="005E7E5A">
                                  <w:pPr>
                                    <w:autoSpaceDE w:val="0"/>
                                    <w:autoSpaceDN w:val="0"/>
                                    <w:adjustRightInd w:val="0"/>
                                    <w:jc w:val="center"/>
                                    <w:rPr>
                                      <w:rFonts w:cs="Arial"/>
                                      <w:i/>
                                      <w:color w:val="8C8984"/>
                                      <w:sz w:val="16"/>
                                      <w:szCs w:val="16"/>
                                    </w:rPr>
                                  </w:pPr>
                                </w:p>
                              </w:tc>
                              <w:tc>
                                <w:tcPr>
                                  <w:tcW w:w="2097" w:type="dxa"/>
                                  <w:gridSpan w:val="3"/>
                                  <w:shd w:val="clear" w:color="auto" w:fill="auto"/>
                                  <w:vAlign w:val="bottom"/>
                                </w:tcPr>
                                <w:p w14:paraId="642BC576" w14:textId="14B1C3B4" w:rsidR="008D0391" w:rsidRPr="006F31C1" w:rsidRDefault="008D0391" w:rsidP="00CD7EA5">
                                  <w:pPr>
                                    <w:autoSpaceDE w:val="0"/>
                                    <w:autoSpaceDN w:val="0"/>
                                    <w:adjustRightInd w:val="0"/>
                                    <w:spacing w:line="240" w:lineRule="auto"/>
                                    <w:jc w:val="right"/>
                                    <w:rPr>
                                      <w:rFonts w:cs="Arial"/>
                                      <w:b/>
                                      <w:i/>
                                      <w:color w:val="006747"/>
                                      <w:sz w:val="16"/>
                                      <w:szCs w:val="16"/>
                                    </w:rPr>
                                  </w:pPr>
                                  <w:r w:rsidRPr="00B4123F">
                                    <w:rPr>
                                      <w:rFonts w:ascii="Gill Sans MT" w:hAnsi="Gill Sans MT" w:cs="Arial"/>
                                      <w:b/>
                                      <w:bCs/>
                                      <w:i/>
                                      <w:iCs/>
                                      <w:color w:val="006747"/>
                                      <w:sz w:val="16"/>
                                      <w:szCs w:val="16"/>
                                      <w:lang w:val="it-IT"/>
                                    </w:rPr>
                                    <w:t>Rendimento normalmente più</w:t>
                                  </w:r>
                                  <w:r>
                                    <w:rPr>
                                      <w:rFonts w:ascii="Gill Sans MT" w:hAnsi="Gill Sans MT" w:cs="Arial"/>
                                      <w:b/>
                                      <w:bCs/>
                                      <w:i/>
                                      <w:iCs/>
                                      <w:color w:val="006747"/>
                                      <w:sz w:val="16"/>
                                      <w:szCs w:val="16"/>
                                      <w:lang w:val="it-IT"/>
                                    </w:rPr>
                                    <w:t xml:space="preserve"> elevato</w:t>
                                  </w:r>
                                  <w:r w:rsidRPr="00B4123F">
                                    <w:rPr>
                                      <w:rFonts w:ascii="Gill Sans MT" w:hAnsi="Gill Sans MT" w:cs="Arial"/>
                                      <w:b/>
                                      <w:bCs/>
                                      <w:i/>
                                      <w:iCs/>
                                      <w:color w:val="006747"/>
                                      <w:sz w:val="16"/>
                                      <w:szCs w:val="16"/>
                                      <w:lang w:val="it-IT"/>
                                    </w:rPr>
                                    <w:t xml:space="preserve"> </w:t>
                                  </w:r>
                                  <w:r>
                                    <w:rPr>
                                      <w:rFonts w:ascii="Gill Sans MT" w:hAnsi="Gill Sans MT" w:cs="Arial"/>
                                      <w:b/>
                                      <w:bCs/>
                                      <w:i/>
                                      <w:iCs/>
                                      <w:color w:val="006747"/>
                                      <w:sz w:val="16"/>
                                      <w:szCs w:val="16"/>
                                      <w:lang w:val="it-IT"/>
                                    </w:rPr>
                                    <w:t xml:space="preserve">   </w:t>
                                  </w:r>
                                </w:p>
                              </w:tc>
                            </w:tr>
                            <w:tr w:rsidR="008D0391" w:rsidRPr="006F31C1" w14:paraId="1BFF7AA0" w14:textId="77777777" w:rsidTr="00CD7EA5">
                              <w:tblPrEx>
                                <w:tblBorders>
                                  <w:top w:val="none" w:sz="0" w:space="0" w:color="auto"/>
                                  <w:bottom w:val="none" w:sz="0" w:space="0" w:color="auto"/>
                                  <w:insideV w:val="single" w:sz="12" w:space="0" w:color="5696BC"/>
                                </w:tblBorders>
                              </w:tblPrEx>
                              <w:trPr>
                                <w:gridBefore w:val="1"/>
                                <w:wBefore w:w="23" w:type="dxa"/>
                                <w:trHeight w:val="402"/>
                              </w:trPr>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706EB8B7"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1</w:t>
                                  </w:r>
                                </w:p>
                              </w:tc>
                              <w:tc>
                                <w:tcPr>
                                  <w:tcW w:w="699" w:type="dxa"/>
                                  <w:gridSpan w:val="2"/>
                                  <w:tcBorders>
                                    <w:top w:val="single" w:sz="18" w:space="0" w:color="FFFFFF"/>
                                    <w:left w:val="single" w:sz="18" w:space="0" w:color="FFFFFF"/>
                                    <w:bottom w:val="single" w:sz="18" w:space="0" w:color="FFFFFF"/>
                                    <w:right w:val="single" w:sz="18" w:space="0" w:color="FFFFFF"/>
                                  </w:tcBorders>
                                  <w:shd w:val="clear" w:color="auto" w:fill="CCE1DA"/>
                                  <w:vAlign w:val="center"/>
                                </w:tcPr>
                                <w:p w14:paraId="62B13565"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2</w:t>
                                  </w:r>
                                </w:p>
                              </w:tc>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435A59B4"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3</w:t>
                                  </w:r>
                                </w:p>
                              </w:tc>
                              <w:tc>
                                <w:tcPr>
                                  <w:tcW w:w="699" w:type="dxa"/>
                                  <w:tcBorders>
                                    <w:top w:val="single" w:sz="18" w:space="0" w:color="FFFFFF"/>
                                    <w:left w:val="single" w:sz="18" w:space="0" w:color="FFFFFF"/>
                                    <w:bottom w:val="single" w:sz="18" w:space="0" w:color="FFFFFF"/>
                                    <w:right w:val="single" w:sz="18" w:space="0" w:color="FFFFFF"/>
                                  </w:tcBorders>
                                  <w:shd w:val="clear" w:color="auto" w:fill="006747"/>
                                  <w:vAlign w:val="center"/>
                                </w:tcPr>
                                <w:p w14:paraId="7C302B73" w14:textId="77777777" w:rsidR="008D0391" w:rsidRPr="006F31C1" w:rsidRDefault="008D0391" w:rsidP="005E7E5A">
                                  <w:pPr>
                                    <w:autoSpaceDE w:val="0"/>
                                    <w:autoSpaceDN w:val="0"/>
                                    <w:adjustRightInd w:val="0"/>
                                    <w:spacing w:before="80" w:after="60"/>
                                    <w:jc w:val="center"/>
                                    <w:rPr>
                                      <w:rFonts w:cs="Arial"/>
                                      <w:b/>
                                      <w:color w:val="FFFFFF"/>
                                      <w:szCs w:val="16"/>
                                    </w:rPr>
                                  </w:pPr>
                                  <w:r w:rsidRPr="006F31C1">
                                    <w:rPr>
                                      <w:rFonts w:cs="Arial"/>
                                      <w:b/>
                                      <w:color w:val="FFFFFF"/>
                                      <w:szCs w:val="16"/>
                                    </w:rPr>
                                    <w:t>4</w:t>
                                  </w:r>
                                </w:p>
                              </w:tc>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5EFFCB8B"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5</w:t>
                                  </w:r>
                                </w:p>
                              </w:tc>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16307B93"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6</w:t>
                                  </w:r>
                                </w:p>
                              </w:tc>
                              <w:tc>
                                <w:tcPr>
                                  <w:tcW w:w="699" w:type="dxa"/>
                                  <w:tcBorders>
                                    <w:top w:val="single" w:sz="18" w:space="0" w:color="FFFFFF"/>
                                    <w:left w:val="single" w:sz="18" w:space="0" w:color="FFFFFF"/>
                                    <w:bottom w:val="single" w:sz="18" w:space="0" w:color="FFFFFF"/>
                                    <w:right w:val="single" w:sz="18" w:space="0" w:color="FFFFFF"/>
                                  </w:tcBorders>
                                  <w:shd w:val="clear" w:color="auto" w:fill="CCE1DA"/>
                                  <w:vAlign w:val="center"/>
                                </w:tcPr>
                                <w:p w14:paraId="5D017557" w14:textId="77777777" w:rsidR="008D0391" w:rsidRPr="006F31C1" w:rsidRDefault="008D0391" w:rsidP="005E7E5A">
                                  <w:pPr>
                                    <w:autoSpaceDE w:val="0"/>
                                    <w:autoSpaceDN w:val="0"/>
                                    <w:adjustRightInd w:val="0"/>
                                    <w:spacing w:before="80" w:after="60"/>
                                    <w:jc w:val="center"/>
                                    <w:rPr>
                                      <w:rFonts w:cs="Arial"/>
                                      <w:b/>
                                      <w:color w:val="006747"/>
                                      <w:szCs w:val="16"/>
                                    </w:rPr>
                                  </w:pPr>
                                  <w:r w:rsidRPr="006F31C1">
                                    <w:rPr>
                                      <w:rFonts w:cs="Arial"/>
                                      <w:b/>
                                      <w:color w:val="006747"/>
                                      <w:szCs w:val="16"/>
                                    </w:rPr>
                                    <w:t>7</w:t>
                                  </w:r>
                                </w:p>
                              </w:tc>
                            </w:tr>
                          </w:tbl>
                          <w:p w14:paraId="331014CE" w14:textId="77777777" w:rsidR="008D0391" w:rsidRPr="00543AB0" w:rsidRDefault="008D0391" w:rsidP="005E7E5A">
                            <w:pPr>
                              <w:tabs>
                                <w:tab w:val="left" w:pos="2268"/>
                              </w:tabs>
                              <w:autoSpaceDE w:val="0"/>
                              <w:autoSpaceDN w:val="0"/>
                              <w:adjustRightInd w:val="0"/>
                              <w:spacing w:before="80" w:after="60"/>
                              <w:rPr>
                                <w:rFonts w:ascii="Gill Sans MT" w:hAnsi="Gill Sans MT"/>
                                <w:color w:val="FFFFFF"/>
                                <w:sz w:val="16"/>
                                <w:szCs w:val="16"/>
                              </w:rPr>
                            </w:pPr>
                          </w:p>
                        </w:tc>
                      </w:tr>
                    </w:tbl>
                    <w:p w14:paraId="21D7440D" w14:textId="683C4746" w:rsidR="008D0391" w:rsidRPr="00571D88" w:rsidRDefault="008D0391" w:rsidP="00807759">
                      <w:pPr>
                        <w:pStyle w:val="KIIDtext1"/>
                        <w:spacing w:line="230" w:lineRule="exact"/>
                        <w:rPr>
                          <w:sz w:val="17"/>
                          <w:lang w:val="it-IT"/>
                        </w:rPr>
                      </w:pPr>
                      <w:r w:rsidRPr="00571D88">
                        <w:rPr>
                          <w:sz w:val="17"/>
                          <w:szCs w:val="17"/>
                          <w:lang w:val="it-IT"/>
                        </w:rPr>
                        <w:t>Il Fondo appartiene alla categoria di rischio 4 ai fini di questa tabella dati gli investimenti in obbligazioni convertibili e l’uso di  FDI. Ciò significa che il rischio del Fondo è normalmente più elevato rispetto a quello degli strumenti a tasso fisso ma inferiore a quello degli strumenti azionari</w:t>
                      </w:r>
                      <w:r w:rsidRPr="00571D88">
                        <w:rPr>
                          <w:sz w:val="17"/>
                          <w:lang w:val="it-IT"/>
                        </w:rPr>
                        <w:t xml:space="preserve">. </w:t>
                      </w:r>
                    </w:p>
                    <w:p w14:paraId="5A5A5B79" w14:textId="04F083EB" w:rsidR="008D0391" w:rsidRPr="00571D88" w:rsidRDefault="008D0391" w:rsidP="00CD7EA5">
                      <w:pPr>
                        <w:pStyle w:val="KIIDtext1"/>
                        <w:spacing w:line="230" w:lineRule="exact"/>
                        <w:rPr>
                          <w:sz w:val="17"/>
                          <w:lang w:val="it-IT"/>
                        </w:rPr>
                      </w:pPr>
                      <w:r w:rsidRPr="00571D88">
                        <w:rPr>
                          <w:sz w:val="17"/>
                          <w:lang w:val="it-IT"/>
                        </w:rPr>
                        <w:t>Come le obbligazioni convertibili e i mercati azionari, il Fondo può subire di tanto in tanto delle riduzioni di prezzo. Benché il Fondo tenti di ridurre il rischio investendo in una gamma diversificata di asset, tale diversificazione non elimina il rischio.</w:t>
                      </w:r>
                    </w:p>
                    <w:p w14:paraId="57740600" w14:textId="14C218FD" w:rsidR="008D0391" w:rsidRPr="00571D88" w:rsidRDefault="008D0391" w:rsidP="00CD7EA5">
                      <w:pPr>
                        <w:pStyle w:val="KIIDtext1"/>
                        <w:spacing w:line="230" w:lineRule="exact"/>
                        <w:rPr>
                          <w:sz w:val="17"/>
                          <w:lang w:val="it-IT"/>
                        </w:rPr>
                      </w:pPr>
                      <w:r w:rsidRPr="00571D88">
                        <w:rPr>
                          <w:sz w:val="17"/>
                          <w:lang w:val="it-IT"/>
                        </w:rPr>
                        <w:t>L’indicatore di rischio e rendimento è stato calcolato in base a dati storici e potrebbe non costituire un’indicazione affidabile del futuro profilo di rischio del Fondo.</w:t>
                      </w:r>
                    </w:p>
                    <w:p w14:paraId="19170E10" w14:textId="1CE2F924" w:rsidR="008D0391" w:rsidRPr="00571D88" w:rsidRDefault="008D0391" w:rsidP="00CD7EA5">
                      <w:pPr>
                        <w:pStyle w:val="KIIDtext1"/>
                        <w:spacing w:line="230" w:lineRule="exact"/>
                        <w:rPr>
                          <w:sz w:val="17"/>
                          <w:lang w:val="it-IT"/>
                        </w:rPr>
                      </w:pPr>
                      <w:r w:rsidRPr="00571D88">
                        <w:rPr>
                          <w:sz w:val="17"/>
                          <w:lang w:val="it-IT"/>
                        </w:rPr>
                        <w:t>La categoria di rischio e di rendimento mostrata non è garantita e potrebbe variare nel tempo. La categoria più bassa non significa un investimento esente da rischi.</w:t>
                      </w:r>
                    </w:p>
                    <w:p w14:paraId="4F759B39" w14:textId="136C0A5C" w:rsidR="008D0391" w:rsidRPr="00807759" w:rsidRDefault="008D0391" w:rsidP="00CD7EA5">
                      <w:pPr>
                        <w:pStyle w:val="KIIDtext1"/>
                        <w:spacing w:line="230" w:lineRule="exact"/>
                        <w:rPr>
                          <w:sz w:val="17"/>
                          <w:lang w:val="it-IT"/>
                        </w:rPr>
                      </w:pPr>
                      <w:r w:rsidRPr="00571D88">
                        <w:rPr>
                          <w:sz w:val="17"/>
                          <w:lang w:val="it-IT"/>
                        </w:rPr>
                        <w:t>Il prezzo del Fondo può variare e di</w:t>
                      </w:r>
                      <w:r w:rsidRPr="00807759">
                        <w:rPr>
                          <w:sz w:val="17"/>
                          <w:lang w:val="it-IT"/>
                        </w:rPr>
                        <w:t xml:space="preserve"> conseguenza si potrebbe non ottenere l’importo investito in origine.</w:t>
                      </w:r>
                    </w:p>
                    <w:p w14:paraId="5E146FE5" w14:textId="5E5632B1" w:rsidR="008D0391" w:rsidRPr="00807759" w:rsidRDefault="008D0391" w:rsidP="00807759">
                      <w:pPr>
                        <w:pStyle w:val="KIIDtext1"/>
                        <w:spacing w:after="80" w:line="230" w:lineRule="exact"/>
                        <w:rPr>
                          <w:rFonts w:cs="Arial"/>
                          <w:b/>
                          <w:sz w:val="17"/>
                          <w:lang w:val="it-IT"/>
                        </w:rPr>
                      </w:pPr>
                      <w:r w:rsidRPr="00807759">
                        <w:rPr>
                          <w:rFonts w:cs="Arial"/>
                          <w:b/>
                          <w:sz w:val="17"/>
                          <w:lang w:val="it-IT"/>
                        </w:rPr>
                        <w:t>Altri rischi materiali</w:t>
                      </w:r>
                    </w:p>
                    <w:p w14:paraId="51158BAB" w14:textId="54BA4B16" w:rsidR="008D0391" w:rsidRPr="00807759" w:rsidRDefault="008D0391" w:rsidP="00807759">
                      <w:pPr>
                        <w:pStyle w:val="KIIDtext1"/>
                        <w:numPr>
                          <w:ilvl w:val="0"/>
                          <w:numId w:val="5"/>
                        </w:numPr>
                        <w:spacing w:line="230" w:lineRule="exact"/>
                        <w:rPr>
                          <w:rFonts w:cs="Arial"/>
                          <w:sz w:val="17"/>
                          <w:lang w:val="it-IT"/>
                        </w:rPr>
                      </w:pPr>
                      <w:r w:rsidRPr="00807759">
                        <w:rPr>
                          <w:rFonts w:cs="Arial"/>
                          <w:b/>
                          <w:bCs/>
                          <w:sz w:val="17"/>
                          <w:lang w:val="it-IT"/>
                        </w:rPr>
                        <w:t>Rischio di credito/controparte</w:t>
                      </w:r>
                      <w:r w:rsidRPr="00807759">
                        <w:rPr>
                          <w:rFonts w:cs="Arial"/>
                          <w:sz w:val="17"/>
                          <w:lang w:val="it-IT"/>
                        </w:rPr>
                        <w:t>: una parte o un emittente che effettua una transazione con il Fondo potrebbe non ottemperare ai suoi obblighi, causando delle perdite.</w:t>
                      </w:r>
                    </w:p>
                    <w:p w14:paraId="5C2434DC" w14:textId="77777777" w:rsidR="008D0391" w:rsidRPr="00544424" w:rsidRDefault="008D0391" w:rsidP="00CD7EA5">
                      <w:pPr>
                        <w:pStyle w:val="KIIDtext1"/>
                        <w:spacing w:line="230" w:lineRule="exact"/>
                        <w:rPr>
                          <w:sz w:val="17"/>
                          <w:lang w:val="it-IT"/>
                        </w:rPr>
                      </w:pPr>
                    </w:p>
                  </w:txbxContent>
                </v:textbox>
              </v:shape>
            </w:pict>
          </mc:Fallback>
        </mc:AlternateContent>
      </w:r>
      <w:r w:rsidR="00CD7EA5">
        <w:rPr>
          <w:noProof/>
          <w:lang w:val="de-DE" w:eastAsia="ja-JP"/>
        </w:rPr>
        <mc:AlternateContent>
          <mc:Choice Requires="wps">
            <w:drawing>
              <wp:anchor distT="0" distB="0" distL="114300" distR="114300" simplePos="0" relativeHeight="251667456" behindDoc="0" locked="0" layoutInCell="1" allowOverlap="1" wp14:anchorId="6762F49B" wp14:editId="628F185C">
                <wp:simplePos x="0" y="0"/>
                <wp:positionH relativeFrom="column">
                  <wp:posOffset>-610235</wp:posOffset>
                </wp:positionH>
                <wp:positionV relativeFrom="paragraph">
                  <wp:posOffset>4339590</wp:posOffset>
                </wp:positionV>
                <wp:extent cx="3096260" cy="224155"/>
                <wp:effectExtent l="0" t="0" r="8890" b="44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4D446" w14:textId="58EEB044" w:rsidR="008D0391" w:rsidRPr="006F31C1" w:rsidRDefault="008D0391" w:rsidP="005B6E23">
                            <w:pPr>
                              <w:pStyle w:val="BoldSubHead"/>
                              <w:spacing w:before="0"/>
                            </w:pPr>
                            <w:r w:rsidRPr="00E7786C">
                              <w:t>Profilo di rischio e rendimento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2F49B" id="_x0000_s1033" type="#_x0000_t202" style="position:absolute;margin-left:-48.05pt;margin-top:341.7pt;width:243.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Dhg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" stroked="f">
                <v:textbox>
                  <w:txbxContent>
                    <w:p w14:paraId="6B74D446" w14:textId="58EEB044" w:rsidR="008D0391" w:rsidRPr="006F31C1" w:rsidRDefault="008D0391" w:rsidP="005B6E23">
                      <w:pPr>
                        <w:pStyle w:val="BoldSubHead"/>
                        <w:spacing w:before="0"/>
                      </w:pPr>
                      <w:r w:rsidRPr="00E7786C">
                        <w:t>Profilo di rischio e rendimento</w:t>
                      </w:r>
                    </w:p>
                  </w:txbxContent>
                </v:textbox>
              </v:shape>
            </w:pict>
          </mc:Fallback>
        </mc:AlternateContent>
      </w:r>
      <w:r w:rsidR="00CD7EA5">
        <w:rPr>
          <w:noProof/>
          <w:color w:val="000000"/>
          <w:lang w:val="de-DE" w:eastAsia="ja-JP"/>
        </w:rPr>
        <mc:AlternateContent>
          <mc:Choice Requires="wps">
            <w:drawing>
              <wp:anchor distT="0" distB="0" distL="114300" distR="114300" simplePos="0" relativeHeight="251666432" behindDoc="0" locked="0" layoutInCell="1" allowOverlap="1" wp14:anchorId="1C3FD5D8" wp14:editId="40DEA3B8">
                <wp:simplePos x="0" y="0"/>
                <wp:positionH relativeFrom="margin">
                  <wp:posOffset>-568960</wp:posOffset>
                </wp:positionH>
                <wp:positionV relativeFrom="paragraph">
                  <wp:posOffset>4298950</wp:posOffset>
                </wp:positionV>
                <wp:extent cx="6696075" cy="8890"/>
                <wp:effectExtent l="0" t="0" r="28575" b="29210"/>
                <wp:wrapNone/>
                <wp:docPr id="2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8890"/>
                        </a:xfrm>
                        <a:prstGeom prst="straightConnector1">
                          <a:avLst/>
                        </a:prstGeom>
                        <a:noFill/>
                        <a:ln w="9525">
                          <a:solidFill>
                            <a:srgbClr val="0067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6C6D5" id="_x0000_t32" coordsize="21600,21600" o:spt="32" o:oned="t" path="m,l21600,21600e" filled="f">
                <v:path arrowok="t" fillok="f" o:connecttype="none"/>
                <o:lock v:ext="edit" shapetype="t"/>
              </v:shapetype>
              <v:shape id="AutoShape 101" o:spid="_x0000_s1026" type="#_x0000_t32" style="position:absolute;margin-left:-44.8pt;margin-top:338.5pt;width:527.25pt;height:.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" strokecolor="#006747">
                <w10:wrap anchorx="margin"/>
              </v:shape>
            </w:pict>
          </mc:Fallback>
        </mc:AlternateContent>
      </w:r>
      <w:r w:rsidR="008A3787">
        <w:rPr>
          <w:noProof/>
          <w:lang w:val="de-DE" w:eastAsia="ja-JP"/>
        </w:rPr>
        <mc:AlternateContent>
          <mc:Choice Requires="wps">
            <w:drawing>
              <wp:anchor distT="0" distB="0" distL="114300" distR="114300" simplePos="0" relativeHeight="251663360" behindDoc="0" locked="0" layoutInCell="1" allowOverlap="1" wp14:anchorId="16C457A2" wp14:editId="3E8105FE">
                <wp:simplePos x="0" y="0"/>
                <wp:positionH relativeFrom="column">
                  <wp:posOffset>-681990</wp:posOffset>
                </wp:positionH>
                <wp:positionV relativeFrom="paragraph">
                  <wp:posOffset>1312545</wp:posOffset>
                </wp:positionV>
                <wp:extent cx="3096260" cy="224155"/>
                <wp:effectExtent l="0" t="0" r="8890" b="444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CEB0D" w14:textId="421C1026" w:rsidR="008D0391" w:rsidRPr="00831DE1" w:rsidRDefault="008D0391" w:rsidP="005B6E23">
                            <w:pPr>
                              <w:shd w:val="clear" w:color="auto" w:fill="FFFFFF"/>
                              <w:tabs>
                                <w:tab w:val="left" w:pos="163"/>
                              </w:tabs>
                              <w:autoSpaceDE w:val="0"/>
                              <w:autoSpaceDN w:val="0"/>
                              <w:adjustRightInd w:val="0"/>
                              <w:spacing w:line="240" w:lineRule="auto"/>
                              <w:rPr>
                                <w:color w:val="5F5F5F"/>
                                <w:sz w:val="18"/>
                                <w:szCs w:val="18"/>
                              </w:rPr>
                            </w:pPr>
                            <w:r w:rsidRPr="00447C2B">
                              <w:rPr>
                                <w:rFonts w:eastAsia="Calibri"/>
                                <w:b/>
                                <w:bCs/>
                                <w:caps/>
                                <w:color w:val="006747"/>
                                <w:spacing w:val="7"/>
                                <w:sz w:val="21"/>
                                <w:szCs w:val="22"/>
                                <w:lang w:val="en-GB"/>
                              </w:rPr>
                              <w:t>Obiettivi e politica di investimento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457A2" id="_x0000_s1034" type="#_x0000_t202" style="position:absolute;margin-left:-53.7pt;margin-top:103.35pt;width:243.8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2Shg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" stroked="f">
                <v:textbox>
                  <w:txbxContent>
                    <w:p w14:paraId="2B5CEB0D" w14:textId="421C1026" w:rsidR="008D0391" w:rsidRPr="00831DE1" w:rsidRDefault="008D0391" w:rsidP="005B6E23">
                      <w:pPr>
                        <w:shd w:val="clear" w:color="auto" w:fill="FFFFFF"/>
                        <w:tabs>
                          <w:tab w:val="left" w:pos="163"/>
                        </w:tabs>
                        <w:autoSpaceDE w:val="0"/>
                        <w:autoSpaceDN w:val="0"/>
                        <w:adjustRightInd w:val="0"/>
                        <w:spacing w:line="240" w:lineRule="auto"/>
                        <w:rPr>
                          <w:color w:val="5F5F5F"/>
                          <w:sz w:val="18"/>
                          <w:szCs w:val="18"/>
                        </w:rPr>
                      </w:pPr>
                      <w:r w:rsidRPr="00447C2B">
                        <w:rPr>
                          <w:rFonts w:eastAsia="Calibri"/>
                          <w:b/>
                          <w:bCs/>
                          <w:caps/>
                          <w:color w:val="006747"/>
                          <w:spacing w:val="7"/>
                          <w:sz w:val="21"/>
                          <w:szCs w:val="22"/>
                          <w:lang w:val="en-GB"/>
                        </w:rPr>
                        <w:t>Obiettivi e politica di investimento</w:t>
                      </w:r>
                    </w:p>
                  </w:txbxContent>
                </v:textbox>
              </v:shape>
            </w:pict>
          </mc:Fallback>
        </mc:AlternateContent>
      </w:r>
      <w:r w:rsidR="005B6E23">
        <w:rPr>
          <w:noProof/>
          <w:lang w:val="de-DE" w:eastAsia="ja-JP"/>
        </w:rPr>
        <mc:AlternateContent>
          <mc:Choice Requires="wps">
            <w:drawing>
              <wp:anchor distT="0" distB="0" distL="114300" distR="114300" simplePos="0" relativeHeight="251672576" behindDoc="0" locked="0" layoutInCell="1" allowOverlap="1" wp14:anchorId="43BF8B85" wp14:editId="26583ACB">
                <wp:simplePos x="0" y="0"/>
                <wp:positionH relativeFrom="column">
                  <wp:posOffset>0</wp:posOffset>
                </wp:positionH>
                <wp:positionV relativeFrom="paragraph">
                  <wp:posOffset>10219690</wp:posOffset>
                </wp:positionV>
                <wp:extent cx="3096260" cy="224155"/>
                <wp:effectExtent l="0" t="0" r="889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00B6A" w14:textId="77777777" w:rsidR="008D0391" w:rsidRPr="006F31C1" w:rsidRDefault="008D0391" w:rsidP="005B6E23">
                            <w:pPr>
                              <w:shd w:val="clear" w:color="auto" w:fill="FFFFFF"/>
                              <w:tabs>
                                <w:tab w:val="left" w:pos="163"/>
                              </w:tabs>
                              <w:autoSpaceDE w:val="0"/>
                              <w:autoSpaceDN w:val="0"/>
                              <w:adjustRightInd w:val="0"/>
                              <w:spacing w:line="240" w:lineRule="auto"/>
                              <w:rPr>
                                <w:rFonts w:cs="Arial"/>
                                <w:color w:val="5F5F5F"/>
                                <w:sz w:val="18"/>
                                <w:szCs w:val="18"/>
                              </w:rPr>
                            </w:pPr>
                            <w:r w:rsidRPr="006F31C1">
                              <w:rPr>
                                <w:rFonts w:eastAsia="Calibri" w:cs="Arial"/>
                                <w:b/>
                                <w:bCs/>
                                <w:caps/>
                                <w:color w:val="006747"/>
                                <w:spacing w:val="7"/>
                                <w:sz w:val="21"/>
                                <w:szCs w:val="22"/>
                                <w:lang w:val="en-GB"/>
                              </w:rPr>
                              <w:t>Charges for this Fund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F8B85" id="_x0000_s1035" type="#_x0000_t202" style="position:absolute;margin-left:0;margin-top:804.7pt;width:243.8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JmhQ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" stroked="f">
                <v:textbox>
                  <w:txbxContent>
                    <w:p w14:paraId="7BC00B6A" w14:textId="77777777" w:rsidR="008D0391" w:rsidRPr="006F31C1" w:rsidRDefault="008D0391" w:rsidP="005B6E23">
                      <w:pPr>
                        <w:shd w:val="clear" w:color="auto" w:fill="FFFFFF"/>
                        <w:tabs>
                          <w:tab w:val="left" w:pos="163"/>
                        </w:tabs>
                        <w:autoSpaceDE w:val="0"/>
                        <w:autoSpaceDN w:val="0"/>
                        <w:adjustRightInd w:val="0"/>
                        <w:spacing w:line="240" w:lineRule="auto"/>
                        <w:rPr>
                          <w:rFonts w:cs="Arial"/>
                          <w:color w:val="5F5F5F"/>
                          <w:sz w:val="18"/>
                          <w:szCs w:val="18"/>
                        </w:rPr>
                      </w:pPr>
                      <w:r w:rsidRPr="006F31C1">
                        <w:rPr>
                          <w:rFonts w:eastAsia="Calibri" w:cs="Arial"/>
                          <w:b/>
                          <w:bCs/>
                          <w:caps/>
                          <w:color w:val="006747"/>
                          <w:spacing w:val="7"/>
                          <w:sz w:val="21"/>
                          <w:szCs w:val="22"/>
                          <w:lang w:val="en-GB"/>
                        </w:rPr>
                        <w:t>Charges for this Fund</w:t>
                      </w:r>
                    </w:p>
                  </w:txbxContent>
                </v:textbox>
              </v:shape>
            </w:pict>
          </mc:Fallback>
        </mc:AlternateContent>
      </w:r>
      <w:r w:rsidR="005B6E23">
        <w:br w:type="page"/>
      </w:r>
    </w:p>
    <w:p w14:paraId="1182EDA0" w14:textId="2A9CC8EE" w:rsidR="005B6E23" w:rsidRDefault="005F472A">
      <w:pPr>
        <w:widowControl/>
        <w:spacing w:after="160" w:line="259" w:lineRule="auto"/>
        <w:jc w:val="left"/>
      </w:pPr>
      <w:r>
        <w:rPr>
          <w:noProof/>
          <w:lang w:val="de-DE" w:eastAsia="ja-JP"/>
        </w:rPr>
        <w:lastRenderedPageBreak/>
        <mc:AlternateContent>
          <mc:Choice Requires="wps">
            <w:drawing>
              <wp:anchor distT="0" distB="0" distL="114300" distR="114300" simplePos="0" relativeHeight="251658239" behindDoc="0" locked="0" layoutInCell="1" allowOverlap="1" wp14:anchorId="314135DF" wp14:editId="69AEF80D">
                <wp:simplePos x="0" y="0"/>
                <wp:positionH relativeFrom="column">
                  <wp:posOffset>-487680</wp:posOffset>
                </wp:positionH>
                <wp:positionV relativeFrom="paragraph">
                  <wp:posOffset>-143510</wp:posOffset>
                </wp:positionV>
                <wp:extent cx="3394710" cy="23749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37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2E970" w14:textId="4FC922E8" w:rsidR="008D0391" w:rsidRPr="00571D88" w:rsidRDefault="008D0391" w:rsidP="00A545B1">
                            <w:pPr>
                              <w:pStyle w:val="KIIDtext1"/>
                              <w:rPr>
                                <w:rFonts w:cs="Arial"/>
                                <w:sz w:val="17"/>
                                <w:szCs w:val="17"/>
                                <w:lang w:val="it-IT"/>
                              </w:rPr>
                            </w:pPr>
                            <w:r w:rsidRPr="00571D88">
                              <w:rPr>
                                <w:sz w:val="17"/>
                                <w:szCs w:val="17"/>
                                <w:lang w:val="it-IT"/>
                              </w:rPr>
                              <w:t>Le spese di sottoscrizione e conversione indicate sono misure massime. In alcuni casi, Lei potrebbe pagare di meno</w:t>
                            </w:r>
                            <w:r w:rsidRPr="00571D88">
                              <w:rPr>
                                <w:rFonts w:cs="Arial"/>
                                <w:sz w:val="17"/>
                                <w:szCs w:val="17"/>
                                <w:lang w:val="it-IT"/>
                              </w:rPr>
                              <w:t>; il Suo consulente finanziario può indicarle se questo è il caso.</w:t>
                            </w:r>
                          </w:p>
                          <w:p w14:paraId="4DAAD2B9" w14:textId="2FB32115" w:rsidR="008D0391" w:rsidRPr="00571D88" w:rsidRDefault="008D0391" w:rsidP="001C4D58">
                            <w:pPr>
                              <w:pStyle w:val="KIIDtext1"/>
                              <w:rPr>
                                <w:rFonts w:cs="Arial"/>
                                <w:sz w:val="17"/>
                                <w:szCs w:val="17"/>
                                <w:lang w:val="en-US"/>
                              </w:rPr>
                            </w:pPr>
                            <w:r w:rsidRPr="00571D88">
                              <w:rPr>
                                <w:rFonts w:cs="Arial"/>
                                <w:sz w:val="17"/>
                                <w:szCs w:val="17"/>
                                <w:lang w:val="it-IT"/>
                              </w:rPr>
                              <w:t>Gli importi relativi alle spese correnti si basano sulle spese massime per l’anno che termina il 31 dicembre 202</w:t>
                            </w:r>
                            <w:r w:rsidR="001C4D58">
                              <w:rPr>
                                <w:rFonts w:cs="Arial"/>
                                <w:sz w:val="17"/>
                                <w:szCs w:val="17"/>
                                <w:lang w:val="it-IT"/>
                              </w:rPr>
                              <w:t>1</w:t>
                            </w:r>
                            <w:r w:rsidRPr="00571D88">
                              <w:rPr>
                                <w:rFonts w:cs="Arial"/>
                                <w:sz w:val="17"/>
                                <w:szCs w:val="17"/>
                                <w:lang w:val="it-IT"/>
                              </w:rPr>
                              <w:t xml:space="preserve"> in base all’entità precedente del Salar Fund. Questo importo può variare da un anno all’altro. </w:t>
                            </w:r>
                            <w:r w:rsidRPr="00571D88">
                              <w:rPr>
                                <w:rFonts w:cs="Arial"/>
                                <w:sz w:val="17"/>
                                <w:szCs w:val="17"/>
                                <w:lang w:val="en-US"/>
                              </w:rPr>
                              <w:t>Esso non include:</w:t>
                            </w:r>
                          </w:p>
                          <w:p w14:paraId="2C15737C" w14:textId="5FAE906A" w:rsidR="008D0391" w:rsidRPr="00571D88" w:rsidRDefault="008D0391" w:rsidP="00EC7D6F">
                            <w:pPr>
                              <w:pStyle w:val="KIIDtext1"/>
                              <w:rPr>
                                <w:rFonts w:cs="Arial"/>
                                <w:sz w:val="17"/>
                                <w:szCs w:val="17"/>
                                <w:lang w:val="it-IT"/>
                              </w:rPr>
                            </w:pPr>
                            <w:r w:rsidRPr="00571D88">
                              <w:rPr>
                                <w:rFonts w:cs="Arial"/>
                                <w:sz w:val="17"/>
                                <w:szCs w:val="17"/>
                                <w:lang w:val="it-IT"/>
                              </w:rPr>
                              <w:t xml:space="preserve">Le commissioni legate al rendimento, che corrispondono al 10% delle prestazioni del Fondo che eccedono un tasso di rendimento specifico della valuta (vedere la tabella) calcolato giornalmente. </w:t>
                            </w:r>
                          </w:p>
                          <w:p w14:paraId="452EE53E" w14:textId="44DA10B0" w:rsidR="008D0391" w:rsidRPr="00571D88" w:rsidRDefault="008D0391" w:rsidP="00EC7D6F">
                            <w:pPr>
                              <w:pStyle w:val="KIIDtext1"/>
                              <w:rPr>
                                <w:sz w:val="17"/>
                                <w:szCs w:val="17"/>
                                <w:lang w:val="it-IT"/>
                              </w:rPr>
                            </w:pPr>
                            <w:r w:rsidRPr="00571D88">
                              <w:rPr>
                                <w:sz w:val="17"/>
                                <w:szCs w:val="17"/>
                                <w:lang w:val="it-IT"/>
                              </w:rPr>
                              <w:t>Per informazioni complete sulle spese applicabili al Fondo, si prega di fare riferimento alla sezione del Prospetto e del Supplemento sugli oneri e le spese.</w:t>
                            </w:r>
                            <w:r w:rsidRPr="00571D88">
                              <w:rPr>
                                <w:rFonts w:cs="Arial"/>
                                <w:sz w:val="17"/>
                                <w:szCs w:val="17"/>
                                <w:lang w:val="it-I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135DF" id="_x0000_s1036" type="#_x0000_t202" style="position:absolute;margin-left:-38.4pt;margin-top:-11.3pt;width:267.3pt;height:18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" stroked="f">
                <v:textbox>
                  <w:txbxContent>
                    <w:p w14:paraId="08E2E970" w14:textId="4FC922E8" w:rsidR="008D0391" w:rsidRPr="00571D88" w:rsidRDefault="008D0391" w:rsidP="00A545B1">
                      <w:pPr>
                        <w:pStyle w:val="KIIDtext1"/>
                        <w:rPr>
                          <w:rFonts w:cs="Arial"/>
                          <w:sz w:val="17"/>
                          <w:szCs w:val="17"/>
                          <w:lang w:val="it-IT"/>
                        </w:rPr>
                      </w:pPr>
                      <w:r w:rsidRPr="00571D88">
                        <w:rPr>
                          <w:sz w:val="17"/>
                          <w:szCs w:val="17"/>
                          <w:lang w:val="it-IT"/>
                        </w:rPr>
                        <w:t>Le spese di sottoscrizione e conversione indicate sono misure massime. In alcuni casi, Lei potrebbe pagare di meno</w:t>
                      </w:r>
                      <w:r w:rsidRPr="00571D88">
                        <w:rPr>
                          <w:rFonts w:cs="Arial"/>
                          <w:sz w:val="17"/>
                          <w:szCs w:val="17"/>
                          <w:lang w:val="it-IT"/>
                        </w:rPr>
                        <w:t>; il Suo consulente finanziario può indicarle se questo è il caso.</w:t>
                      </w:r>
                    </w:p>
                    <w:p w14:paraId="4DAAD2B9" w14:textId="2FB32115" w:rsidR="008D0391" w:rsidRPr="00571D88" w:rsidRDefault="008D0391" w:rsidP="001C4D58">
                      <w:pPr>
                        <w:pStyle w:val="KIIDtext1"/>
                        <w:rPr>
                          <w:rFonts w:cs="Arial"/>
                          <w:sz w:val="17"/>
                          <w:szCs w:val="17"/>
                          <w:lang w:val="en-US"/>
                        </w:rPr>
                      </w:pPr>
                      <w:r w:rsidRPr="00571D88">
                        <w:rPr>
                          <w:rFonts w:cs="Arial"/>
                          <w:sz w:val="17"/>
                          <w:szCs w:val="17"/>
                          <w:lang w:val="it-IT"/>
                        </w:rPr>
                        <w:t xml:space="preserve">Gli importi relativi alle spese correnti si basano sulle spese massime per l’anno che termina </w:t>
                      </w:r>
                      <w:r w:rsidRPr="00571D88">
                        <w:rPr>
                          <w:rFonts w:cs="Arial"/>
                          <w:sz w:val="17"/>
                          <w:szCs w:val="17"/>
                          <w:lang w:val="it-IT"/>
                        </w:rPr>
                        <w:t>il 31 dicembre 202</w:t>
                      </w:r>
                      <w:r w:rsidR="001C4D58">
                        <w:rPr>
                          <w:rFonts w:cs="Arial"/>
                          <w:sz w:val="17"/>
                          <w:szCs w:val="17"/>
                          <w:lang w:val="it-IT"/>
                        </w:rPr>
                        <w:t>1</w:t>
                      </w:r>
                      <w:r w:rsidRPr="00571D88">
                        <w:rPr>
                          <w:rFonts w:cs="Arial"/>
                          <w:sz w:val="17"/>
                          <w:szCs w:val="17"/>
                          <w:lang w:val="it-IT"/>
                        </w:rPr>
                        <w:t xml:space="preserve"> in base all’entità precedente del Salar Fund. Questo importo può variare da un anno all’altro. </w:t>
                      </w:r>
                      <w:r w:rsidRPr="00571D88">
                        <w:rPr>
                          <w:rFonts w:cs="Arial"/>
                          <w:sz w:val="17"/>
                          <w:szCs w:val="17"/>
                          <w:lang w:val="en-US"/>
                        </w:rPr>
                        <w:t>Esso non include:</w:t>
                      </w:r>
                    </w:p>
                    <w:p w14:paraId="2C15737C" w14:textId="5FAE906A" w:rsidR="008D0391" w:rsidRPr="00571D88" w:rsidRDefault="008D0391" w:rsidP="00EC7D6F">
                      <w:pPr>
                        <w:pStyle w:val="KIIDtext1"/>
                        <w:rPr>
                          <w:rFonts w:cs="Arial"/>
                          <w:sz w:val="17"/>
                          <w:szCs w:val="17"/>
                          <w:lang w:val="it-IT"/>
                        </w:rPr>
                      </w:pPr>
                      <w:r w:rsidRPr="00571D88">
                        <w:rPr>
                          <w:rFonts w:cs="Arial"/>
                          <w:sz w:val="17"/>
                          <w:szCs w:val="17"/>
                          <w:lang w:val="it-IT"/>
                        </w:rPr>
                        <w:t xml:space="preserve">Le commissioni legate al rendimento, che corrispondono al 10% delle prestazioni del Fondo che eccedono un tasso di rendimento specifico della valuta (vedere la tabella) calcolato giornalmente. </w:t>
                      </w:r>
                    </w:p>
                    <w:p w14:paraId="452EE53E" w14:textId="44DA10B0" w:rsidR="008D0391" w:rsidRPr="00571D88" w:rsidRDefault="008D0391" w:rsidP="00EC7D6F">
                      <w:pPr>
                        <w:pStyle w:val="KIIDtext1"/>
                        <w:rPr>
                          <w:sz w:val="17"/>
                          <w:szCs w:val="17"/>
                          <w:lang w:val="it-IT"/>
                        </w:rPr>
                      </w:pPr>
                      <w:r w:rsidRPr="00571D88">
                        <w:rPr>
                          <w:sz w:val="17"/>
                          <w:szCs w:val="17"/>
                          <w:lang w:val="it-IT"/>
                        </w:rPr>
                        <w:t>Per informazioni complete sulle spese applicabili al Fondo, si prega di fare riferimento alla sezione del Prospetto e del Supplemento sugli oneri e le spese.</w:t>
                      </w:r>
                      <w:r w:rsidRPr="00571D88">
                        <w:rPr>
                          <w:rFonts w:cs="Arial"/>
                          <w:sz w:val="17"/>
                          <w:szCs w:val="17"/>
                          <w:lang w:val="it-IT"/>
                        </w:rPr>
                        <w:t xml:space="preserve"> </w:t>
                      </w:r>
                    </w:p>
                  </w:txbxContent>
                </v:textbox>
              </v:shape>
            </w:pict>
          </mc:Fallback>
        </mc:AlternateContent>
      </w:r>
      <w:r w:rsidR="00571D88">
        <w:rPr>
          <w:noProof/>
          <w:lang w:val="de-DE" w:eastAsia="ja-JP"/>
        </w:rPr>
        <mc:AlternateContent>
          <mc:Choice Requires="wps">
            <w:drawing>
              <wp:anchor distT="0" distB="0" distL="114300" distR="114300" simplePos="0" relativeHeight="251676672" behindDoc="0" locked="0" layoutInCell="1" allowOverlap="1" wp14:anchorId="5F4798A8" wp14:editId="5BD52C13">
                <wp:simplePos x="0" y="0"/>
                <wp:positionH relativeFrom="column">
                  <wp:posOffset>2981325</wp:posOffset>
                </wp:positionH>
                <wp:positionV relativeFrom="paragraph">
                  <wp:posOffset>-514350</wp:posOffset>
                </wp:positionV>
                <wp:extent cx="3383915" cy="2809875"/>
                <wp:effectExtent l="0" t="0" r="26035" b="28575"/>
                <wp:wrapNone/>
                <wp:docPr id="1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2809875"/>
                        </a:xfrm>
                        <a:prstGeom prst="rect">
                          <a:avLst/>
                        </a:prstGeom>
                        <a:noFill/>
                        <a:ln w="9525">
                          <a:solidFill>
                            <a:srgbClr val="006747"/>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45" w:type="dxa"/>
                              <w:tblCellMar>
                                <w:top w:w="28" w:type="dxa"/>
                              </w:tblCellMar>
                              <w:tblLook w:val="04A0" w:firstRow="1" w:lastRow="0" w:firstColumn="1" w:lastColumn="0" w:noHBand="0" w:noVBand="1"/>
                            </w:tblPr>
                            <w:tblGrid>
                              <w:gridCol w:w="1531"/>
                              <w:gridCol w:w="848"/>
                              <w:gridCol w:w="98"/>
                              <w:gridCol w:w="265"/>
                              <w:gridCol w:w="1455"/>
                              <w:gridCol w:w="848"/>
                            </w:tblGrid>
                            <w:tr w:rsidR="008D0391" w:rsidRPr="00544424" w14:paraId="3ACABF2B" w14:textId="77777777" w:rsidTr="00547654">
                              <w:trPr>
                                <w:trHeight w:val="283"/>
                              </w:trPr>
                              <w:tc>
                                <w:tcPr>
                                  <w:tcW w:w="5045" w:type="dxa"/>
                                  <w:gridSpan w:val="6"/>
                                  <w:shd w:val="clear" w:color="auto" w:fill="006747"/>
                                </w:tcPr>
                                <w:p w14:paraId="059185E8" w14:textId="0F4D9C4A" w:rsidR="008D0391" w:rsidRPr="0036454A" w:rsidRDefault="008D0391" w:rsidP="00547654">
                                  <w:pPr>
                                    <w:tabs>
                                      <w:tab w:val="left" w:pos="264"/>
                                    </w:tabs>
                                    <w:autoSpaceDE w:val="0"/>
                                    <w:autoSpaceDN w:val="0"/>
                                    <w:adjustRightInd w:val="0"/>
                                    <w:spacing w:line="200" w:lineRule="exact"/>
                                    <w:jc w:val="left"/>
                                    <w:rPr>
                                      <w:rFonts w:cs="Arial"/>
                                      <w:b/>
                                      <w:color w:val="FFFFFF"/>
                                      <w:sz w:val="16"/>
                                      <w:szCs w:val="16"/>
                                      <w:lang w:val="it-IT"/>
                                    </w:rPr>
                                  </w:pPr>
                                  <w:r w:rsidRPr="0036454A">
                                    <w:rPr>
                                      <w:rFonts w:cs="Arial"/>
                                      <w:b/>
                                      <w:color w:val="FFFFFF"/>
                                      <w:sz w:val="16"/>
                                      <w:szCs w:val="16"/>
                                      <w:lang w:val="it-IT"/>
                                    </w:rPr>
                                    <w:t>Spese una tantum prelevate prima o dopo l’investimento</w:t>
                                  </w:r>
                                </w:p>
                              </w:tc>
                            </w:tr>
                            <w:tr w:rsidR="008D0391" w14:paraId="07282F6D" w14:textId="77777777" w:rsidTr="00547654">
                              <w:tc>
                                <w:tcPr>
                                  <w:tcW w:w="1587" w:type="dxa"/>
                                  <w:tcBorders>
                                    <w:bottom w:val="single" w:sz="8" w:space="0" w:color="CCE1DA"/>
                                  </w:tcBorders>
                                  <w:shd w:val="clear" w:color="auto" w:fill="CCE1DA"/>
                                </w:tcPr>
                                <w:p w14:paraId="0F149CB5" w14:textId="0978255A" w:rsidR="008D0391" w:rsidRPr="0036454A" w:rsidRDefault="008D0391" w:rsidP="00547654">
                                  <w:pPr>
                                    <w:pStyle w:val="KIIDtext1"/>
                                    <w:autoSpaceDE w:val="0"/>
                                    <w:autoSpaceDN w:val="0"/>
                                    <w:adjustRightInd w:val="0"/>
                                    <w:spacing w:line="200" w:lineRule="exact"/>
                                    <w:rPr>
                                      <w:rFonts w:cs="Arial"/>
                                      <w:color w:val="006747"/>
                                      <w:sz w:val="16"/>
                                      <w:szCs w:val="16"/>
                                      <w:lang w:val="it-IT"/>
                                    </w:rPr>
                                  </w:pPr>
                                  <w:r w:rsidRPr="0036454A">
                                    <w:rPr>
                                      <w:rFonts w:cs="Arial"/>
                                      <w:b/>
                                      <w:color w:val="006747"/>
                                      <w:sz w:val="16"/>
                                      <w:szCs w:val="16"/>
                                      <w:lang w:val="it-IT"/>
                                    </w:rPr>
                                    <w:t>Spesa di sottoscrizione</w:t>
                                  </w:r>
                                </w:p>
                              </w:tc>
                              <w:tc>
                                <w:tcPr>
                                  <w:tcW w:w="737" w:type="dxa"/>
                                  <w:tcBorders>
                                    <w:bottom w:val="single" w:sz="8" w:space="0" w:color="CCE1DA"/>
                                    <w:right w:val="single" w:sz="8" w:space="0" w:color="CCE1DA"/>
                                  </w:tcBorders>
                                  <w:shd w:val="clear" w:color="auto" w:fill="auto"/>
                                </w:tcPr>
                                <w:p w14:paraId="24CC7531" w14:textId="222C4EAE" w:rsidR="008D0391" w:rsidRPr="0036454A" w:rsidRDefault="008D0391" w:rsidP="00547654">
                                  <w:pPr>
                                    <w:pStyle w:val="KIIDtext1"/>
                                    <w:autoSpaceDE w:val="0"/>
                                    <w:autoSpaceDN w:val="0"/>
                                    <w:adjustRightInd w:val="0"/>
                                    <w:spacing w:line="200" w:lineRule="exact"/>
                                    <w:rPr>
                                      <w:rFonts w:cs="Arial"/>
                                      <w:sz w:val="16"/>
                                      <w:szCs w:val="16"/>
                                      <w:lang w:val="it-IT"/>
                                    </w:rPr>
                                  </w:pPr>
                                  <w:r w:rsidRPr="0036454A">
                                    <w:rPr>
                                      <w:rFonts w:cs="Arial"/>
                                      <w:sz w:val="16"/>
                                      <w:szCs w:val="16"/>
                                      <w:lang w:val="it-IT"/>
                                    </w:rPr>
                                    <w:t>Nessuna</w:t>
                                  </w:r>
                                </w:p>
                              </w:tc>
                              <w:tc>
                                <w:tcPr>
                                  <w:tcW w:w="397" w:type="dxa"/>
                                  <w:gridSpan w:val="2"/>
                                  <w:tcBorders>
                                    <w:left w:val="single" w:sz="8" w:space="0" w:color="CCE1DA"/>
                                  </w:tcBorders>
                                  <w:shd w:val="clear" w:color="auto" w:fill="FFFFFF"/>
                                </w:tcPr>
                                <w:p w14:paraId="52B89D6F" w14:textId="77777777" w:rsidR="008D0391" w:rsidRPr="0036454A" w:rsidRDefault="008D0391" w:rsidP="00547654">
                                  <w:pPr>
                                    <w:pStyle w:val="KIIDtext1"/>
                                    <w:autoSpaceDE w:val="0"/>
                                    <w:autoSpaceDN w:val="0"/>
                                    <w:adjustRightInd w:val="0"/>
                                    <w:spacing w:line="200" w:lineRule="exact"/>
                                    <w:rPr>
                                      <w:rFonts w:cs="Arial"/>
                                      <w:sz w:val="16"/>
                                      <w:szCs w:val="16"/>
                                      <w:lang w:val="it-IT"/>
                                    </w:rPr>
                                  </w:pPr>
                                </w:p>
                              </w:tc>
                              <w:tc>
                                <w:tcPr>
                                  <w:tcW w:w="1587" w:type="dxa"/>
                                  <w:tcBorders>
                                    <w:bottom w:val="single" w:sz="8" w:space="0" w:color="CCE1DA"/>
                                  </w:tcBorders>
                                  <w:shd w:val="clear" w:color="auto" w:fill="CCE1DA"/>
                                </w:tcPr>
                                <w:p w14:paraId="0F7C93DA" w14:textId="09D76463" w:rsidR="008D0391" w:rsidRPr="0036454A" w:rsidRDefault="008D0391" w:rsidP="00547654">
                                  <w:pPr>
                                    <w:pStyle w:val="KIIDtext1"/>
                                    <w:autoSpaceDE w:val="0"/>
                                    <w:autoSpaceDN w:val="0"/>
                                    <w:adjustRightInd w:val="0"/>
                                    <w:spacing w:line="200" w:lineRule="exact"/>
                                    <w:rPr>
                                      <w:rFonts w:cs="Arial"/>
                                      <w:sz w:val="16"/>
                                      <w:szCs w:val="16"/>
                                      <w:lang w:val="it-IT"/>
                                    </w:rPr>
                                  </w:pPr>
                                  <w:r w:rsidRPr="0036454A">
                                    <w:rPr>
                                      <w:rFonts w:cs="Arial"/>
                                      <w:b/>
                                      <w:color w:val="006747"/>
                                      <w:sz w:val="16"/>
                                      <w:szCs w:val="16"/>
                                      <w:lang w:val="it-IT"/>
                                    </w:rPr>
                                    <w:t>Spesa di rimborso</w:t>
                                  </w:r>
                                </w:p>
                              </w:tc>
                              <w:tc>
                                <w:tcPr>
                                  <w:tcW w:w="737" w:type="dxa"/>
                                  <w:tcBorders>
                                    <w:bottom w:val="single" w:sz="8" w:space="0" w:color="CCE1DA"/>
                                    <w:right w:val="single" w:sz="8" w:space="0" w:color="CCE1DA"/>
                                  </w:tcBorders>
                                  <w:shd w:val="clear" w:color="auto" w:fill="auto"/>
                                </w:tcPr>
                                <w:p w14:paraId="3940D495" w14:textId="2EDFCB27" w:rsidR="008D0391" w:rsidRPr="0036454A" w:rsidRDefault="008D0391" w:rsidP="00547654">
                                  <w:pPr>
                                    <w:pStyle w:val="KIIDtext1"/>
                                    <w:autoSpaceDE w:val="0"/>
                                    <w:autoSpaceDN w:val="0"/>
                                    <w:adjustRightInd w:val="0"/>
                                    <w:spacing w:line="200" w:lineRule="exact"/>
                                    <w:rPr>
                                      <w:rFonts w:cs="Arial"/>
                                      <w:sz w:val="16"/>
                                      <w:szCs w:val="16"/>
                                      <w:lang w:val="it-IT"/>
                                    </w:rPr>
                                  </w:pPr>
                                  <w:r w:rsidRPr="0036454A">
                                    <w:rPr>
                                      <w:rFonts w:cs="Arial"/>
                                      <w:sz w:val="16"/>
                                      <w:szCs w:val="16"/>
                                      <w:lang w:val="it-IT"/>
                                    </w:rPr>
                                    <w:t>Nessuna</w:t>
                                  </w:r>
                                </w:p>
                              </w:tc>
                            </w:tr>
                            <w:tr w:rsidR="008D0391" w:rsidRPr="00544424" w14:paraId="1BF5D050" w14:textId="77777777" w:rsidTr="00547654">
                              <w:tc>
                                <w:tcPr>
                                  <w:tcW w:w="5045" w:type="dxa"/>
                                  <w:gridSpan w:val="6"/>
                                  <w:shd w:val="clear" w:color="auto" w:fill="auto"/>
                                </w:tcPr>
                                <w:p w14:paraId="2BB00D2A" w14:textId="3267A588" w:rsidR="008D0391" w:rsidRPr="0036454A" w:rsidRDefault="008D0391" w:rsidP="00E7786C">
                                  <w:pPr>
                                    <w:pStyle w:val="KIIDtext1"/>
                                    <w:autoSpaceDE w:val="0"/>
                                    <w:autoSpaceDN w:val="0"/>
                                    <w:adjustRightInd w:val="0"/>
                                    <w:spacing w:after="60" w:line="200" w:lineRule="exact"/>
                                    <w:rPr>
                                      <w:rFonts w:cs="Arial"/>
                                      <w:sz w:val="16"/>
                                      <w:szCs w:val="16"/>
                                      <w:lang w:val="it-IT"/>
                                    </w:rPr>
                                  </w:pPr>
                                  <w:r w:rsidRPr="0036454A">
                                    <w:rPr>
                                      <w:rFonts w:cs="Arial"/>
                                      <w:sz w:val="16"/>
                                      <w:szCs w:val="16"/>
                                      <w:lang w:val="it-IT"/>
                                    </w:rPr>
                                    <w:t xml:space="preserve">La spesa di sottoscrizione è l’importo massimo che può </w:t>
                                  </w:r>
                                  <w:r w:rsidRPr="0036454A">
                                    <w:rPr>
                                      <w:rFonts w:cs="Arial"/>
                                      <w:sz w:val="16"/>
                                      <w:szCs w:val="16"/>
                                      <w:lang w:val="it-IT"/>
                                    </w:rPr>
                                    <w:t>essere pre</w:t>
                                  </w:r>
                                  <w:r w:rsidR="00E00974">
                                    <w:rPr>
                                      <w:rFonts w:cs="Arial"/>
                                      <w:sz w:val="16"/>
                                      <w:szCs w:val="16"/>
                                      <w:lang w:val="it-IT"/>
                                    </w:rPr>
                                    <w:t>levato prima dell’investimento.</w:t>
                                  </w:r>
                                </w:p>
                              </w:tc>
                            </w:tr>
                            <w:tr w:rsidR="008D0391" w:rsidRPr="00544424" w14:paraId="3DE3479F" w14:textId="77777777" w:rsidTr="00547654">
                              <w:trPr>
                                <w:trHeight w:val="283"/>
                              </w:trPr>
                              <w:tc>
                                <w:tcPr>
                                  <w:tcW w:w="5045" w:type="dxa"/>
                                  <w:gridSpan w:val="6"/>
                                  <w:shd w:val="clear" w:color="auto" w:fill="006747"/>
                                </w:tcPr>
                                <w:p w14:paraId="40454E8D" w14:textId="59C4FBB3" w:rsidR="008D0391" w:rsidRPr="0036454A" w:rsidRDefault="008D0391" w:rsidP="00547654">
                                  <w:pPr>
                                    <w:pStyle w:val="KIIDtext1"/>
                                    <w:autoSpaceDE w:val="0"/>
                                    <w:autoSpaceDN w:val="0"/>
                                    <w:adjustRightInd w:val="0"/>
                                    <w:spacing w:after="0" w:line="200" w:lineRule="exact"/>
                                    <w:rPr>
                                      <w:rFonts w:cs="Arial"/>
                                      <w:b/>
                                      <w:color w:val="FFFFFF"/>
                                      <w:sz w:val="16"/>
                                      <w:szCs w:val="16"/>
                                      <w:lang w:val="it-IT"/>
                                    </w:rPr>
                                  </w:pPr>
                                  <w:r w:rsidRPr="0036454A">
                                    <w:rPr>
                                      <w:rFonts w:cs="Arial"/>
                                      <w:b/>
                                      <w:color w:val="FFFFFF"/>
                                      <w:sz w:val="16"/>
                                      <w:szCs w:val="16"/>
                                      <w:lang w:val="it-IT"/>
                                    </w:rPr>
                                    <w:t>Spese prelevate dal Fondo in un anno</w:t>
                                  </w:r>
                                </w:p>
                              </w:tc>
                            </w:tr>
                            <w:tr w:rsidR="008D0391" w14:paraId="1392D75E" w14:textId="77777777" w:rsidTr="00547654">
                              <w:tc>
                                <w:tcPr>
                                  <w:tcW w:w="2426" w:type="dxa"/>
                                  <w:gridSpan w:val="3"/>
                                  <w:tcBorders>
                                    <w:bottom w:val="single" w:sz="8" w:space="0" w:color="CCE1DA"/>
                                  </w:tcBorders>
                                  <w:shd w:val="clear" w:color="auto" w:fill="CCE1DA"/>
                                </w:tcPr>
                                <w:p w14:paraId="533F74C7" w14:textId="45B13478" w:rsidR="008D0391" w:rsidRPr="0036454A" w:rsidRDefault="008D0391" w:rsidP="00547654">
                                  <w:pPr>
                                    <w:pStyle w:val="KIIDtext1"/>
                                    <w:autoSpaceDE w:val="0"/>
                                    <w:autoSpaceDN w:val="0"/>
                                    <w:adjustRightInd w:val="0"/>
                                    <w:spacing w:line="200" w:lineRule="exact"/>
                                    <w:rPr>
                                      <w:rFonts w:cs="Arial"/>
                                      <w:color w:val="006747"/>
                                      <w:sz w:val="16"/>
                                      <w:szCs w:val="16"/>
                                      <w:lang w:val="it-IT"/>
                                    </w:rPr>
                                  </w:pPr>
                                  <w:r w:rsidRPr="0036454A">
                                    <w:rPr>
                                      <w:rFonts w:cs="Arial"/>
                                      <w:b/>
                                      <w:color w:val="006747"/>
                                      <w:sz w:val="16"/>
                                      <w:szCs w:val="16"/>
                                      <w:lang w:val="it-IT"/>
                                    </w:rPr>
                                    <w:t xml:space="preserve">Spese correnti  </w:t>
                                  </w:r>
                                </w:p>
                              </w:tc>
                              <w:tc>
                                <w:tcPr>
                                  <w:tcW w:w="2619" w:type="dxa"/>
                                  <w:gridSpan w:val="3"/>
                                  <w:tcBorders>
                                    <w:bottom w:val="single" w:sz="8" w:space="0" w:color="CCE1DA"/>
                                    <w:right w:val="single" w:sz="8" w:space="0" w:color="CCE1DA"/>
                                  </w:tcBorders>
                                  <w:shd w:val="clear" w:color="auto" w:fill="auto"/>
                                </w:tcPr>
                                <w:p w14:paraId="446FE436" w14:textId="42080E3A" w:rsidR="008D0391" w:rsidRPr="0036454A" w:rsidRDefault="008D0391" w:rsidP="00260AA8">
                                  <w:pPr>
                                    <w:pStyle w:val="KIIDtext1"/>
                                    <w:autoSpaceDE w:val="0"/>
                                    <w:autoSpaceDN w:val="0"/>
                                    <w:adjustRightInd w:val="0"/>
                                    <w:spacing w:line="200" w:lineRule="exact"/>
                                    <w:rPr>
                                      <w:rFonts w:cs="Arial"/>
                                      <w:b/>
                                      <w:sz w:val="16"/>
                                      <w:szCs w:val="16"/>
                                      <w:lang w:val="it-IT"/>
                                    </w:rPr>
                                  </w:pPr>
                                  <w:r w:rsidRPr="0036454A">
                                    <w:rPr>
                                      <w:rFonts w:cs="Arial"/>
                                      <w:sz w:val="16"/>
                                      <w:szCs w:val="16"/>
                                      <w:lang w:val="it-IT"/>
                                    </w:rPr>
                                    <w:t>1.43%</w:t>
                                  </w:r>
                                </w:p>
                              </w:tc>
                            </w:tr>
                            <w:tr w:rsidR="008D0391" w:rsidRPr="00544424" w14:paraId="473D24F6" w14:textId="77777777" w:rsidTr="00547654">
                              <w:trPr>
                                <w:trHeight w:val="283"/>
                              </w:trPr>
                              <w:tc>
                                <w:tcPr>
                                  <w:tcW w:w="5045" w:type="dxa"/>
                                  <w:gridSpan w:val="6"/>
                                  <w:shd w:val="clear" w:color="auto" w:fill="006747"/>
                                </w:tcPr>
                                <w:p w14:paraId="39E2A768" w14:textId="3B337C94" w:rsidR="008D0391" w:rsidRPr="0036454A" w:rsidRDefault="008D0391" w:rsidP="00547654">
                                  <w:pPr>
                                    <w:pStyle w:val="KIIDtext1"/>
                                    <w:autoSpaceDE w:val="0"/>
                                    <w:autoSpaceDN w:val="0"/>
                                    <w:adjustRightInd w:val="0"/>
                                    <w:spacing w:after="0" w:line="200" w:lineRule="exact"/>
                                    <w:rPr>
                                      <w:rFonts w:cs="Arial"/>
                                      <w:b/>
                                      <w:color w:val="FFFFFF"/>
                                      <w:spacing w:val="-2"/>
                                      <w:sz w:val="16"/>
                                      <w:szCs w:val="16"/>
                                      <w:lang w:val="it-IT"/>
                                    </w:rPr>
                                  </w:pPr>
                                  <w:r w:rsidRPr="0036454A">
                                    <w:rPr>
                                      <w:rFonts w:cs="Arial"/>
                                      <w:b/>
                                      <w:color w:val="FFFFFF"/>
                                      <w:spacing w:val="-2"/>
                                      <w:sz w:val="16"/>
                                      <w:szCs w:val="16"/>
                                      <w:lang w:val="it-IT"/>
                                    </w:rPr>
                                    <w:t>Spese prelevate dal Fondo a determinate condizioni specifiche</w:t>
                                  </w:r>
                                </w:p>
                              </w:tc>
                            </w:tr>
                            <w:tr w:rsidR="008D0391" w:rsidRPr="00FE75FB" w14:paraId="235B34B0" w14:textId="77777777" w:rsidTr="00547654">
                              <w:tc>
                                <w:tcPr>
                                  <w:tcW w:w="2426" w:type="dxa"/>
                                  <w:gridSpan w:val="3"/>
                                  <w:tcBorders>
                                    <w:bottom w:val="single" w:sz="8" w:space="0" w:color="CCE1DA"/>
                                  </w:tcBorders>
                                  <w:shd w:val="clear" w:color="auto" w:fill="CCE1DA"/>
                                  <w:vAlign w:val="center"/>
                                </w:tcPr>
                                <w:p w14:paraId="0FBFC597" w14:textId="6C7D0535" w:rsidR="008D0391" w:rsidRPr="0036454A" w:rsidRDefault="008D0391" w:rsidP="00547654">
                                  <w:pPr>
                                    <w:pStyle w:val="KIIDtext1"/>
                                    <w:autoSpaceDE w:val="0"/>
                                    <w:autoSpaceDN w:val="0"/>
                                    <w:adjustRightInd w:val="0"/>
                                    <w:rPr>
                                      <w:rFonts w:cs="Arial"/>
                                      <w:b/>
                                      <w:color w:val="006747"/>
                                      <w:sz w:val="16"/>
                                      <w:szCs w:val="16"/>
                                      <w:lang w:val="it-IT"/>
                                    </w:rPr>
                                  </w:pPr>
                                  <w:r w:rsidRPr="0036454A">
                                    <w:rPr>
                                      <w:rFonts w:cs="Arial"/>
                                      <w:b/>
                                      <w:color w:val="006747"/>
                                      <w:sz w:val="16"/>
                                      <w:szCs w:val="16"/>
                                      <w:lang w:val="it-IT"/>
                                    </w:rPr>
                                    <w:t xml:space="preserve">Commissioni legate al rendimento   </w:t>
                                  </w:r>
                                </w:p>
                              </w:tc>
                              <w:tc>
                                <w:tcPr>
                                  <w:tcW w:w="2619" w:type="dxa"/>
                                  <w:gridSpan w:val="3"/>
                                  <w:tcBorders>
                                    <w:bottom w:val="single" w:sz="8" w:space="0" w:color="CCE1DA"/>
                                    <w:right w:val="single" w:sz="8" w:space="0" w:color="CCE1DA"/>
                                  </w:tcBorders>
                                  <w:shd w:val="clear" w:color="auto" w:fill="auto"/>
                                  <w:vAlign w:val="center"/>
                                </w:tcPr>
                                <w:p w14:paraId="5BB6228D" w14:textId="4397A29C" w:rsidR="008D0391" w:rsidRPr="00571D88" w:rsidRDefault="008D0391" w:rsidP="00547654">
                                  <w:pPr>
                                    <w:pStyle w:val="KIIDtext1"/>
                                    <w:autoSpaceDE w:val="0"/>
                                    <w:autoSpaceDN w:val="0"/>
                                    <w:adjustRightInd w:val="0"/>
                                    <w:spacing w:line="200" w:lineRule="exact"/>
                                    <w:rPr>
                                      <w:rFonts w:cs="Arial"/>
                                      <w:sz w:val="16"/>
                                      <w:szCs w:val="16"/>
                                    </w:rPr>
                                  </w:pPr>
                                  <w:r w:rsidRPr="00571D88">
                                    <w:rPr>
                                      <w:rFonts w:cs="Arial"/>
                                      <w:sz w:val="16"/>
                                      <w:szCs w:val="16"/>
                                    </w:rPr>
                                    <w:t>10% sull’ high-water mark/hurdle</w:t>
                                  </w:r>
                                </w:p>
                                <w:p w14:paraId="4B0BEBA0" w14:textId="4EB20305" w:rsidR="008D0391" w:rsidRPr="00FE75FB" w:rsidRDefault="008D0391" w:rsidP="00FE75FB">
                                  <w:pPr>
                                    <w:pStyle w:val="KIIDtext1"/>
                                    <w:autoSpaceDE w:val="0"/>
                                    <w:autoSpaceDN w:val="0"/>
                                    <w:adjustRightInd w:val="0"/>
                                    <w:spacing w:line="200" w:lineRule="exact"/>
                                    <w:rPr>
                                      <w:rFonts w:cs="Arial"/>
                                      <w:sz w:val="16"/>
                                      <w:szCs w:val="16"/>
                                      <w:lang w:val="it-IT"/>
                                    </w:rPr>
                                  </w:pPr>
                                  <w:r w:rsidRPr="00571D88">
                                    <w:rPr>
                                      <w:rFonts w:cs="Arial"/>
                                      <w:sz w:val="12"/>
                                      <w:szCs w:val="16"/>
                                      <w:lang w:val="it-IT"/>
                                    </w:rPr>
                                    <w:t>Hurdle: SONIA GBP per le azioni A1 GBP, Euro Short Term Rate per le azioni A1 EUR e il LIBOR USA a 90 giorni per le azioni A1 USD</w:t>
                                  </w:r>
                                </w:p>
                              </w:tc>
                            </w:tr>
                          </w:tbl>
                          <w:p w14:paraId="265DD3B0" w14:textId="33ECEFE2" w:rsidR="008D0391" w:rsidRPr="0036454A" w:rsidRDefault="008D0391" w:rsidP="00A32750">
                            <w:pPr>
                              <w:spacing w:after="180" w:line="200" w:lineRule="exact"/>
                              <w:rPr>
                                <w:color w:val="767171" w:themeColor="background2" w:themeShade="80"/>
                                <w:sz w:val="16"/>
                                <w:szCs w:val="17"/>
                                <w:lang w:val="it-IT"/>
                              </w:rPr>
                            </w:pPr>
                            <w:r w:rsidRPr="0036454A">
                              <w:rPr>
                                <w:color w:val="767171" w:themeColor="background2" w:themeShade="80"/>
                                <w:sz w:val="16"/>
                                <w:szCs w:val="17"/>
                                <w:lang w:val="it-IT"/>
                              </w:rPr>
                              <w:t>Le spese da Lei corrisposte sono utilizzate per coprire i costi operativi del Fondo, inclusi i costi di commercializzazione e di distribuzione. Queste spese riducono il rendimento potenziale del Suo investimento.</w:t>
                            </w:r>
                          </w:p>
                          <w:p w14:paraId="49F259AB" w14:textId="3CB864EC" w:rsidR="008D0391" w:rsidRPr="00EC7D6F" w:rsidRDefault="008D0391" w:rsidP="00547654">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98A8" id="Rectangle 132" o:spid="_x0000_s1037" style="position:absolute;margin-left:234.75pt;margin-top:-40.5pt;width:266.45pt;height:2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" filled="f" strokecolor="#006747">
                <v:textbox>
                  <w:txbxContent>
                    <w:tbl>
                      <w:tblPr>
                        <w:tblW w:w="5045" w:type="dxa"/>
                        <w:tblCellMar>
                          <w:top w:w="28" w:type="dxa"/>
                        </w:tblCellMar>
                        <w:tblLook w:val="04A0" w:firstRow="1" w:lastRow="0" w:firstColumn="1" w:lastColumn="0" w:noHBand="0" w:noVBand="1"/>
                      </w:tblPr>
                      <w:tblGrid>
                        <w:gridCol w:w="1531"/>
                        <w:gridCol w:w="848"/>
                        <w:gridCol w:w="98"/>
                        <w:gridCol w:w="265"/>
                        <w:gridCol w:w="1455"/>
                        <w:gridCol w:w="848"/>
                      </w:tblGrid>
                      <w:tr w:rsidR="008D0391" w:rsidRPr="00544424" w14:paraId="3ACABF2B" w14:textId="77777777" w:rsidTr="00547654">
                        <w:trPr>
                          <w:trHeight w:val="283"/>
                        </w:trPr>
                        <w:tc>
                          <w:tcPr>
                            <w:tcW w:w="5045" w:type="dxa"/>
                            <w:gridSpan w:val="6"/>
                            <w:shd w:val="clear" w:color="auto" w:fill="006747"/>
                          </w:tcPr>
                          <w:p w14:paraId="059185E8" w14:textId="0F4D9C4A" w:rsidR="008D0391" w:rsidRPr="0036454A" w:rsidRDefault="008D0391" w:rsidP="00547654">
                            <w:pPr>
                              <w:tabs>
                                <w:tab w:val="left" w:pos="264"/>
                              </w:tabs>
                              <w:autoSpaceDE w:val="0"/>
                              <w:autoSpaceDN w:val="0"/>
                              <w:adjustRightInd w:val="0"/>
                              <w:spacing w:line="200" w:lineRule="exact"/>
                              <w:jc w:val="left"/>
                              <w:rPr>
                                <w:rFonts w:cs="Arial"/>
                                <w:b/>
                                <w:color w:val="FFFFFF"/>
                                <w:sz w:val="16"/>
                                <w:szCs w:val="16"/>
                                <w:lang w:val="it-IT"/>
                              </w:rPr>
                            </w:pPr>
                            <w:r w:rsidRPr="0036454A">
                              <w:rPr>
                                <w:rFonts w:cs="Arial"/>
                                <w:b/>
                                <w:color w:val="FFFFFF"/>
                                <w:sz w:val="16"/>
                                <w:szCs w:val="16"/>
                                <w:lang w:val="it-IT"/>
                              </w:rPr>
                              <w:t>Spese una tantum prelevate prima o dopo l’investimento</w:t>
                            </w:r>
                          </w:p>
                        </w:tc>
                      </w:tr>
                      <w:tr w:rsidR="008D0391" w14:paraId="07282F6D" w14:textId="77777777" w:rsidTr="00547654">
                        <w:tc>
                          <w:tcPr>
                            <w:tcW w:w="1587" w:type="dxa"/>
                            <w:tcBorders>
                              <w:bottom w:val="single" w:sz="8" w:space="0" w:color="CCE1DA"/>
                            </w:tcBorders>
                            <w:shd w:val="clear" w:color="auto" w:fill="CCE1DA"/>
                          </w:tcPr>
                          <w:p w14:paraId="0F149CB5" w14:textId="0978255A" w:rsidR="008D0391" w:rsidRPr="0036454A" w:rsidRDefault="008D0391" w:rsidP="00547654">
                            <w:pPr>
                              <w:pStyle w:val="KIIDtext1"/>
                              <w:autoSpaceDE w:val="0"/>
                              <w:autoSpaceDN w:val="0"/>
                              <w:adjustRightInd w:val="0"/>
                              <w:spacing w:line="200" w:lineRule="exact"/>
                              <w:rPr>
                                <w:rFonts w:cs="Arial"/>
                                <w:color w:val="006747"/>
                                <w:sz w:val="16"/>
                                <w:szCs w:val="16"/>
                                <w:lang w:val="it-IT"/>
                              </w:rPr>
                            </w:pPr>
                            <w:r w:rsidRPr="0036454A">
                              <w:rPr>
                                <w:rFonts w:cs="Arial"/>
                                <w:b/>
                                <w:color w:val="006747"/>
                                <w:sz w:val="16"/>
                                <w:szCs w:val="16"/>
                                <w:lang w:val="it-IT"/>
                              </w:rPr>
                              <w:t>Spesa di sottoscrizione</w:t>
                            </w:r>
                          </w:p>
                        </w:tc>
                        <w:tc>
                          <w:tcPr>
                            <w:tcW w:w="737" w:type="dxa"/>
                            <w:tcBorders>
                              <w:bottom w:val="single" w:sz="8" w:space="0" w:color="CCE1DA"/>
                              <w:right w:val="single" w:sz="8" w:space="0" w:color="CCE1DA"/>
                            </w:tcBorders>
                            <w:shd w:val="clear" w:color="auto" w:fill="auto"/>
                          </w:tcPr>
                          <w:p w14:paraId="24CC7531" w14:textId="222C4EAE" w:rsidR="008D0391" w:rsidRPr="0036454A" w:rsidRDefault="008D0391" w:rsidP="00547654">
                            <w:pPr>
                              <w:pStyle w:val="KIIDtext1"/>
                              <w:autoSpaceDE w:val="0"/>
                              <w:autoSpaceDN w:val="0"/>
                              <w:adjustRightInd w:val="0"/>
                              <w:spacing w:line="200" w:lineRule="exact"/>
                              <w:rPr>
                                <w:rFonts w:cs="Arial"/>
                                <w:sz w:val="16"/>
                                <w:szCs w:val="16"/>
                                <w:lang w:val="it-IT"/>
                              </w:rPr>
                            </w:pPr>
                            <w:r w:rsidRPr="0036454A">
                              <w:rPr>
                                <w:rFonts w:cs="Arial"/>
                                <w:sz w:val="16"/>
                                <w:szCs w:val="16"/>
                                <w:lang w:val="it-IT"/>
                              </w:rPr>
                              <w:t>Nessuna</w:t>
                            </w:r>
                          </w:p>
                        </w:tc>
                        <w:tc>
                          <w:tcPr>
                            <w:tcW w:w="397" w:type="dxa"/>
                            <w:gridSpan w:val="2"/>
                            <w:tcBorders>
                              <w:left w:val="single" w:sz="8" w:space="0" w:color="CCE1DA"/>
                            </w:tcBorders>
                            <w:shd w:val="clear" w:color="auto" w:fill="FFFFFF"/>
                          </w:tcPr>
                          <w:p w14:paraId="52B89D6F" w14:textId="77777777" w:rsidR="008D0391" w:rsidRPr="0036454A" w:rsidRDefault="008D0391" w:rsidP="00547654">
                            <w:pPr>
                              <w:pStyle w:val="KIIDtext1"/>
                              <w:autoSpaceDE w:val="0"/>
                              <w:autoSpaceDN w:val="0"/>
                              <w:adjustRightInd w:val="0"/>
                              <w:spacing w:line="200" w:lineRule="exact"/>
                              <w:rPr>
                                <w:rFonts w:cs="Arial"/>
                                <w:sz w:val="16"/>
                                <w:szCs w:val="16"/>
                                <w:lang w:val="it-IT"/>
                              </w:rPr>
                            </w:pPr>
                          </w:p>
                        </w:tc>
                        <w:tc>
                          <w:tcPr>
                            <w:tcW w:w="1587" w:type="dxa"/>
                            <w:tcBorders>
                              <w:bottom w:val="single" w:sz="8" w:space="0" w:color="CCE1DA"/>
                            </w:tcBorders>
                            <w:shd w:val="clear" w:color="auto" w:fill="CCE1DA"/>
                          </w:tcPr>
                          <w:p w14:paraId="0F7C93DA" w14:textId="09D76463" w:rsidR="008D0391" w:rsidRPr="0036454A" w:rsidRDefault="008D0391" w:rsidP="00547654">
                            <w:pPr>
                              <w:pStyle w:val="KIIDtext1"/>
                              <w:autoSpaceDE w:val="0"/>
                              <w:autoSpaceDN w:val="0"/>
                              <w:adjustRightInd w:val="0"/>
                              <w:spacing w:line="200" w:lineRule="exact"/>
                              <w:rPr>
                                <w:rFonts w:cs="Arial"/>
                                <w:sz w:val="16"/>
                                <w:szCs w:val="16"/>
                                <w:lang w:val="it-IT"/>
                              </w:rPr>
                            </w:pPr>
                            <w:r w:rsidRPr="0036454A">
                              <w:rPr>
                                <w:rFonts w:cs="Arial"/>
                                <w:b/>
                                <w:color w:val="006747"/>
                                <w:sz w:val="16"/>
                                <w:szCs w:val="16"/>
                                <w:lang w:val="it-IT"/>
                              </w:rPr>
                              <w:t>Spesa di rimborso</w:t>
                            </w:r>
                          </w:p>
                        </w:tc>
                        <w:tc>
                          <w:tcPr>
                            <w:tcW w:w="737" w:type="dxa"/>
                            <w:tcBorders>
                              <w:bottom w:val="single" w:sz="8" w:space="0" w:color="CCE1DA"/>
                              <w:right w:val="single" w:sz="8" w:space="0" w:color="CCE1DA"/>
                            </w:tcBorders>
                            <w:shd w:val="clear" w:color="auto" w:fill="auto"/>
                          </w:tcPr>
                          <w:p w14:paraId="3940D495" w14:textId="2EDFCB27" w:rsidR="008D0391" w:rsidRPr="0036454A" w:rsidRDefault="008D0391" w:rsidP="00547654">
                            <w:pPr>
                              <w:pStyle w:val="KIIDtext1"/>
                              <w:autoSpaceDE w:val="0"/>
                              <w:autoSpaceDN w:val="0"/>
                              <w:adjustRightInd w:val="0"/>
                              <w:spacing w:line="200" w:lineRule="exact"/>
                              <w:rPr>
                                <w:rFonts w:cs="Arial"/>
                                <w:sz w:val="16"/>
                                <w:szCs w:val="16"/>
                                <w:lang w:val="it-IT"/>
                              </w:rPr>
                            </w:pPr>
                            <w:r w:rsidRPr="0036454A">
                              <w:rPr>
                                <w:rFonts w:cs="Arial"/>
                                <w:sz w:val="16"/>
                                <w:szCs w:val="16"/>
                                <w:lang w:val="it-IT"/>
                              </w:rPr>
                              <w:t>Nessuna</w:t>
                            </w:r>
                          </w:p>
                        </w:tc>
                      </w:tr>
                      <w:tr w:rsidR="008D0391" w:rsidRPr="00544424" w14:paraId="1BF5D050" w14:textId="77777777" w:rsidTr="00547654">
                        <w:tc>
                          <w:tcPr>
                            <w:tcW w:w="5045" w:type="dxa"/>
                            <w:gridSpan w:val="6"/>
                            <w:shd w:val="clear" w:color="auto" w:fill="auto"/>
                          </w:tcPr>
                          <w:p w14:paraId="2BB00D2A" w14:textId="3267A588" w:rsidR="008D0391" w:rsidRPr="0036454A" w:rsidRDefault="008D0391" w:rsidP="00E7786C">
                            <w:pPr>
                              <w:pStyle w:val="KIIDtext1"/>
                              <w:autoSpaceDE w:val="0"/>
                              <w:autoSpaceDN w:val="0"/>
                              <w:adjustRightInd w:val="0"/>
                              <w:spacing w:after="60" w:line="200" w:lineRule="exact"/>
                              <w:rPr>
                                <w:rFonts w:cs="Arial"/>
                                <w:sz w:val="16"/>
                                <w:szCs w:val="16"/>
                                <w:lang w:val="it-IT"/>
                              </w:rPr>
                            </w:pPr>
                            <w:r w:rsidRPr="0036454A">
                              <w:rPr>
                                <w:rFonts w:cs="Arial"/>
                                <w:sz w:val="16"/>
                                <w:szCs w:val="16"/>
                                <w:lang w:val="it-IT"/>
                              </w:rPr>
                              <w:t xml:space="preserve">La spesa di sottoscrizione è l’importo massimo che può </w:t>
                            </w:r>
                            <w:r w:rsidRPr="0036454A">
                              <w:rPr>
                                <w:rFonts w:cs="Arial"/>
                                <w:sz w:val="16"/>
                                <w:szCs w:val="16"/>
                                <w:lang w:val="it-IT"/>
                              </w:rPr>
                              <w:t>essere pre</w:t>
                            </w:r>
                            <w:r w:rsidR="00E00974">
                              <w:rPr>
                                <w:rFonts w:cs="Arial"/>
                                <w:sz w:val="16"/>
                                <w:szCs w:val="16"/>
                                <w:lang w:val="it-IT"/>
                              </w:rPr>
                              <w:t>levato prima dell’investimento.</w:t>
                            </w:r>
                          </w:p>
                        </w:tc>
                      </w:tr>
                      <w:tr w:rsidR="008D0391" w:rsidRPr="00544424" w14:paraId="3DE3479F" w14:textId="77777777" w:rsidTr="00547654">
                        <w:trPr>
                          <w:trHeight w:val="283"/>
                        </w:trPr>
                        <w:tc>
                          <w:tcPr>
                            <w:tcW w:w="5045" w:type="dxa"/>
                            <w:gridSpan w:val="6"/>
                            <w:shd w:val="clear" w:color="auto" w:fill="006747"/>
                          </w:tcPr>
                          <w:p w14:paraId="40454E8D" w14:textId="59C4FBB3" w:rsidR="008D0391" w:rsidRPr="0036454A" w:rsidRDefault="008D0391" w:rsidP="00547654">
                            <w:pPr>
                              <w:pStyle w:val="KIIDtext1"/>
                              <w:autoSpaceDE w:val="0"/>
                              <w:autoSpaceDN w:val="0"/>
                              <w:adjustRightInd w:val="0"/>
                              <w:spacing w:after="0" w:line="200" w:lineRule="exact"/>
                              <w:rPr>
                                <w:rFonts w:cs="Arial"/>
                                <w:b/>
                                <w:color w:val="FFFFFF"/>
                                <w:sz w:val="16"/>
                                <w:szCs w:val="16"/>
                                <w:lang w:val="it-IT"/>
                              </w:rPr>
                            </w:pPr>
                            <w:r w:rsidRPr="0036454A">
                              <w:rPr>
                                <w:rFonts w:cs="Arial"/>
                                <w:b/>
                                <w:color w:val="FFFFFF"/>
                                <w:sz w:val="16"/>
                                <w:szCs w:val="16"/>
                                <w:lang w:val="it-IT"/>
                              </w:rPr>
                              <w:t>Spese prelevate dal Fondo in un anno</w:t>
                            </w:r>
                          </w:p>
                        </w:tc>
                      </w:tr>
                      <w:tr w:rsidR="008D0391" w14:paraId="1392D75E" w14:textId="77777777" w:rsidTr="00547654">
                        <w:tc>
                          <w:tcPr>
                            <w:tcW w:w="2426" w:type="dxa"/>
                            <w:gridSpan w:val="3"/>
                            <w:tcBorders>
                              <w:bottom w:val="single" w:sz="8" w:space="0" w:color="CCE1DA"/>
                            </w:tcBorders>
                            <w:shd w:val="clear" w:color="auto" w:fill="CCE1DA"/>
                          </w:tcPr>
                          <w:p w14:paraId="533F74C7" w14:textId="45B13478" w:rsidR="008D0391" w:rsidRPr="0036454A" w:rsidRDefault="008D0391" w:rsidP="00547654">
                            <w:pPr>
                              <w:pStyle w:val="KIIDtext1"/>
                              <w:autoSpaceDE w:val="0"/>
                              <w:autoSpaceDN w:val="0"/>
                              <w:adjustRightInd w:val="0"/>
                              <w:spacing w:line="200" w:lineRule="exact"/>
                              <w:rPr>
                                <w:rFonts w:cs="Arial"/>
                                <w:color w:val="006747"/>
                                <w:sz w:val="16"/>
                                <w:szCs w:val="16"/>
                                <w:lang w:val="it-IT"/>
                              </w:rPr>
                            </w:pPr>
                            <w:r w:rsidRPr="0036454A">
                              <w:rPr>
                                <w:rFonts w:cs="Arial"/>
                                <w:b/>
                                <w:color w:val="006747"/>
                                <w:sz w:val="16"/>
                                <w:szCs w:val="16"/>
                                <w:lang w:val="it-IT"/>
                              </w:rPr>
                              <w:t xml:space="preserve">Spese correnti  </w:t>
                            </w:r>
                          </w:p>
                        </w:tc>
                        <w:tc>
                          <w:tcPr>
                            <w:tcW w:w="2619" w:type="dxa"/>
                            <w:gridSpan w:val="3"/>
                            <w:tcBorders>
                              <w:bottom w:val="single" w:sz="8" w:space="0" w:color="CCE1DA"/>
                              <w:right w:val="single" w:sz="8" w:space="0" w:color="CCE1DA"/>
                            </w:tcBorders>
                            <w:shd w:val="clear" w:color="auto" w:fill="auto"/>
                          </w:tcPr>
                          <w:p w14:paraId="446FE436" w14:textId="42080E3A" w:rsidR="008D0391" w:rsidRPr="0036454A" w:rsidRDefault="008D0391" w:rsidP="00260AA8">
                            <w:pPr>
                              <w:pStyle w:val="KIIDtext1"/>
                              <w:autoSpaceDE w:val="0"/>
                              <w:autoSpaceDN w:val="0"/>
                              <w:adjustRightInd w:val="0"/>
                              <w:spacing w:line="200" w:lineRule="exact"/>
                              <w:rPr>
                                <w:rFonts w:cs="Arial"/>
                                <w:b/>
                                <w:sz w:val="16"/>
                                <w:szCs w:val="16"/>
                                <w:lang w:val="it-IT"/>
                              </w:rPr>
                            </w:pPr>
                            <w:r w:rsidRPr="0036454A">
                              <w:rPr>
                                <w:rFonts w:cs="Arial"/>
                                <w:sz w:val="16"/>
                                <w:szCs w:val="16"/>
                                <w:lang w:val="it-IT"/>
                              </w:rPr>
                              <w:t>1.43%</w:t>
                            </w:r>
                          </w:p>
                        </w:tc>
                      </w:tr>
                      <w:tr w:rsidR="008D0391" w:rsidRPr="00544424" w14:paraId="473D24F6" w14:textId="77777777" w:rsidTr="00547654">
                        <w:trPr>
                          <w:trHeight w:val="283"/>
                        </w:trPr>
                        <w:tc>
                          <w:tcPr>
                            <w:tcW w:w="5045" w:type="dxa"/>
                            <w:gridSpan w:val="6"/>
                            <w:shd w:val="clear" w:color="auto" w:fill="006747"/>
                          </w:tcPr>
                          <w:p w14:paraId="39E2A768" w14:textId="3B337C94" w:rsidR="008D0391" w:rsidRPr="0036454A" w:rsidRDefault="008D0391" w:rsidP="00547654">
                            <w:pPr>
                              <w:pStyle w:val="KIIDtext1"/>
                              <w:autoSpaceDE w:val="0"/>
                              <w:autoSpaceDN w:val="0"/>
                              <w:adjustRightInd w:val="0"/>
                              <w:spacing w:after="0" w:line="200" w:lineRule="exact"/>
                              <w:rPr>
                                <w:rFonts w:cs="Arial"/>
                                <w:b/>
                                <w:color w:val="FFFFFF"/>
                                <w:spacing w:val="-2"/>
                                <w:sz w:val="16"/>
                                <w:szCs w:val="16"/>
                                <w:lang w:val="it-IT"/>
                              </w:rPr>
                            </w:pPr>
                            <w:r w:rsidRPr="0036454A">
                              <w:rPr>
                                <w:rFonts w:cs="Arial"/>
                                <w:b/>
                                <w:color w:val="FFFFFF"/>
                                <w:spacing w:val="-2"/>
                                <w:sz w:val="16"/>
                                <w:szCs w:val="16"/>
                                <w:lang w:val="it-IT"/>
                              </w:rPr>
                              <w:t>Spese prelevate dal Fondo a determinate condizioni specifiche</w:t>
                            </w:r>
                          </w:p>
                        </w:tc>
                      </w:tr>
                      <w:tr w:rsidR="008D0391" w:rsidRPr="00FE75FB" w14:paraId="235B34B0" w14:textId="77777777" w:rsidTr="00547654">
                        <w:tc>
                          <w:tcPr>
                            <w:tcW w:w="2426" w:type="dxa"/>
                            <w:gridSpan w:val="3"/>
                            <w:tcBorders>
                              <w:bottom w:val="single" w:sz="8" w:space="0" w:color="CCE1DA"/>
                            </w:tcBorders>
                            <w:shd w:val="clear" w:color="auto" w:fill="CCE1DA"/>
                            <w:vAlign w:val="center"/>
                          </w:tcPr>
                          <w:p w14:paraId="0FBFC597" w14:textId="6C7D0535" w:rsidR="008D0391" w:rsidRPr="0036454A" w:rsidRDefault="008D0391" w:rsidP="00547654">
                            <w:pPr>
                              <w:pStyle w:val="KIIDtext1"/>
                              <w:autoSpaceDE w:val="0"/>
                              <w:autoSpaceDN w:val="0"/>
                              <w:adjustRightInd w:val="0"/>
                              <w:rPr>
                                <w:rFonts w:cs="Arial"/>
                                <w:b/>
                                <w:color w:val="006747"/>
                                <w:sz w:val="16"/>
                                <w:szCs w:val="16"/>
                                <w:lang w:val="it-IT"/>
                              </w:rPr>
                            </w:pPr>
                            <w:r w:rsidRPr="0036454A">
                              <w:rPr>
                                <w:rFonts w:cs="Arial"/>
                                <w:b/>
                                <w:color w:val="006747"/>
                                <w:sz w:val="16"/>
                                <w:szCs w:val="16"/>
                                <w:lang w:val="it-IT"/>
                              </w:rPr>
                              <w:t xml:space="preserve">Commissioni legate al rendimento   </w:t>
                            </w:r>
                          </w:p>
                        </w:tc>
                        <w:tc>
                          <w:tcPr>
                            <w:tcW w:w="2619" w:type="dxa"/>
                            <w:gridSpan w:val="3"/>
                            <w:tcBorders>
                              <w:bottom w:val="single" w:sz="8" w:space="0" w:color="CCE1DA"/>
                              <w:right w:val="single" w:sz="8" w:space="0" w:color="CCE1DA"/>
                            </w:tcBorders>
                            <w:shd w:val="clear" w:color="auto" w:fill="auto"/>
                            <w:vAlign w:val="center"/>
                          </w:tcPr>
                          <w:p w14:paraId="5BB6228D" w14:textId="4397A29C" w:rsidR="008D0391" w:rsidRPr="00571D88" w:rsidRDefault="008D0391" w:rsidP="00547654">
                            <w:pPr>
                              <w:pStyle w:val="KIIDtext1"/>
                              <w:autoSpaceDE w:val="0"/>
                              <w:autoSpaceDN w:val="0"/>
                              <w:adjustRightInd w:val="0"/>
                              <w:spacing w:line="200" w:lineRule="exact"/>
                              <w:rPr>
                                <w:rFonts w:cs="Arial"/>
                                <w:sz w:val="16"/>
                                <w:szCs w:val="16"/>
                              </w:rPr>
                            </w:pPr>
                            <w:r w:rsidRPr="00571D88">
                              <w:rPr>
                                <w:rFonts w:cs="Arial"/>
                                <w:sz w:val="16"/>
                                <w:szCs w:val="16"/>
                              </w:rPr>
                              <w:t>10% sull’ high-water mark/hurdle</w:t>
                            </w:r>
                          </w:p>
                          <w:p w14:paraId="4B0BEBA0" w14:textId="4EB20305" w:rsidR="008D0391" w:rsidRPr="00FE75FB" w:rsidRDefault="008D0391" w:rsidP="00FE75FB">
                            <w:pPr>
                              <w:pStyle w:val="KIIDtext1"/>
                              <w:autoSpaceDE w:val="0"/>
                              <w:autoSpaceDN w:val="0"/>
                              <w:adjustRightInd w:val="0"/>
                              <w:spacing w:line="200" w:lineRule="exact"/>
                              <w:rPr>
                                <w:rFonts w:cs="Arial"/>
                                <w:sz w:val="16"/>
                                <w:szCs w:val="16"/>
                                <w:lang w:val="it-IT"/>
                              </w:rPr>
                            </w:pPr>
                            <w:r w:rsidRPr="00571D88">
                              <w:rPr>
                                <w:rFonts w:cs="Arial"/>
                                <w:sz w:val="12"/>
                                <w:szCs w:val="16"/>
                                <w:lang w:val="it-IT"/>
                              </w:rPr>
                              <w:t>Hurdle: SONIA GBP per le azioni A1 GBP, Euro Short Term Rate per le azioni A1 EUR e il LIBOR USA a 90 giorni per le azioni A1 USD</w:t>
                            </w:r>
                          </w:p>
                        </w:tc>
                      </w:tr>
                    </w:tbl>
                    <w:p w14:paraId="265DD3B0" w14:textId="33ECEFE2" w:rsidR="008D0391" w:rsidRPr="0036454A" w:rsidRDefault="008D0391" w:rsidP="00A32750">
                      <w:pPr>
                        <w:spacing w:after="180" w:line="200" w:lineRule="exact"/>
                        <w:rPr>
                          <w:color w:val="767171" w:themeColor="background2" w:themeShade="80"/>
                          <w:sz w:val="16"/>
                          <w:szCs w:val="17"/>
                          <w:lang w:val="it-IT"/>
                        </w:rPr>
                      </w:pPr>
                      <w:r w:rsidRPr="0036454A">
                        <w:rPr>
                          <w:color w:val="767171" w:themeColor="background2" w:themeShade="80"/>
                          <w:sz w:val="16"/>
                          <w:szCs w:val="17"/>
                          <w:lang w:val="it-IT"/>
                        </w:rPr>
                        <w:t>Le spese da Lei corrisposte sono utilizzate per coprire i costi operativi del Fondo, inclusi i costi di commercializzazione e di distribuzione. Queste spese riducono il rendimento potenziale del Suo investimento.</w:t>
                      </w:r>
                    </w:p>
                    <w:p w14:paraId="49F259AB" w14:textId="3CB864EC" w:rsidR="008D0391" w:rsidRPr="00EC7D6F" w:rsidRDefault="008D0391" w:rsidP="00547654">
                      <w:pPr>
                        <w:rPr>
                          <w:sz w:val="17"/>
                          <w:szCs w:val="17"/>
                        </w:rPr>
                      </w:pPr>
                    </w:p>
                  </w:txbxContent>
                </v:textbox>
              </v:rect>
            </w:pict>
          </mc:Fallback>
        </mc:AlternateContent>
      </w:r>
      <w:r w:rsidR="00271096">
        <w:rPr>
          <w:noProof/>
          <w:lang w:val="de-DE" w:eastAsia="ja-JP"/>
        </w:rPr>
        <mc:AlternateContent>
          <mc:Choice Requires="wps">
            <w:drawing>
              <wp:anchor distT="0" distB="0" distL="114300" distR="114300" simplePos="0" relativeHeight="251674624" behindDoc="0" locked="0" layoutInCell="1" allowOverlap="1" wp14:anchorId="18404AF7" wp14:editId="402F444D">
                <wp:simplePos x="0" y="0"/>
                <wp:positionH relativeFrom="column">
                  <wp:posOffset>-483870</wp:posOffset>
                </wp:positionH>
                <wp:positionV relativeFrom="paragraph">
                  <wp:posOffset>-320040</wp:posOffset>
                </wp:positionV>
                <wp:extent cx="3096260" cy="224155"/>
                <wp:effectExtent l="0" t="0" r="889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6782D" w14:textId="5866A165" w:rsidR="008D0391" w:rsidRPr="006F31C1" w:rsidRDefault="008D0391" w:rsidP="005B6E23">
                            <w:pPr>
                              <w:shd w:val="clear" w:color="auto" w:fill="FFFFFF"/>
                              <w:tabs>
                                <w:tab w:val="left" w:pos="163"/>
                              </w:tabs>
                              <w:autoSpaceDE w:val="0"/>
                              <w:autoSpaceDN w:val="0"/>
                              <w:adjustRightInd w:val="0"/>
                              <w:spacing w:line="240" w:lineRule="auto"/>
                              <w:rPr>
                                <w:rFonts w:cs="Arial"/>
                                <w:color w:val="5F5F5F"/>
                                <w:sz w:val="18"/>
                                <w:szCs w:val="18"/>
                              </w:rPr>
                            </w:pPr>
                            <w:r w:rsidRPr="00E7786C">
                              <w:rPr>
                                <w:rFonts w:eastAsia="Calibri" w:cs="Arial"/>
                                <w:b/>
                                <w:bCs/>
                                <w:caps/>
                                <w:color w:val="006747"/>
                                <w:spacing w:val="7"/>
                                <w:sz w:val="21"/>
                                <w:szCs w:val="22"/>
                                <w:lang w:val="en-GB"/>
                              </w:rPr>
                              <w:t>SPESE DEL FONDO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04AF7" id="_x0000_s1038" type="#_x0000_t202" style="position:absolute;margin-left:-38.1pt;margin-top:-25.2pt;width:243.8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DOhQIAABcFAAAOAAAAZHJzL2Uyb0RvYy54bWysVNuO2yAQfa/Uf0C8Z32pk42tdVa7SVNV&#10;2l6k3X4AARyjYqBAYm9X/fcOOEm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" stroked="f">
                <v:textbox>
                  <w:txbxContent>
                    <w:p w14:paraId="6806782D" w14:textId="5866A165" w:rsidR="008D0391" w:rsidRPr="006F31C1" w:rsidRDefault="008D0391" w:rsidP="005B6E23">
                      <w:pPr>
                        <w:shd w:val="clear" w:color="auto" w:fill="FFFFFF"/>
                        <w:tabs>
                          <w:tab w:val="left" w:pos="163"/>
                        </w:tabs>
                        <w:autoSpaceDE w:val="0"/>
                        <w:autoSpaceDN w:val="0"/>
                        <w:adjustRightInd w:val="0"/>
                        <w:spacing w:line="240" w:lineRule="auto"/>
                        <w:rPr>
                          <w:rFonts w:cs="Arial"/>
                          <w:color w:val="5F5F5F"/>
                          <w:sz w:val="18"/>
                          <w:szCs w:val="18"/>
                        </w:rPr>
                      </w:pPr>
                      <w:r w:rsidRPr="00E7786C">
                        <w:rPr>
                          <w:rFonts w:eastAsia="Calibri" w:cs="Arial"/>
                          <w:b/>
                          <w:bCs/>
                          <w:caps/>
                          <w:color w:val="006747"/>
                          <w:spacing w:val="7"/>
                          <w:sz w:val="21"/>
                          <w:szCs w:val="22"/>
                          <w:lang w:val="en-GB"/>
                        </w:rPr>
                        <w:t>SPESE DEL FONDO</w:t>
                      </w:r>
                    </w:p>
                  </w:txbxContent>
                </v:textbox>
              </v:shape>
            </w:pict>
          </mc:Fallback>
        </mc:AlternateContent>
      </w:r>
    </w:p>
    <w:p w14:paraId="2EAC6F4B" w14:textId="5385036C" w:rsidR="005B6E23" w:rsidRDefault="005B6E23">
      <w:pPr>
        <w:widowControl/>
        <w:spacing w:after="160" w:line="259" w:lineRule="auto"/>
        <w:jc w:val="left"/>
      </w:pPr>
    </w:p>
    <w:p w14:paraId="28366717" w14:textId="445D58D8" w:rsidR="00CB0F6B" w:rsidRDefault="00CB0F6B">
      <w:pPr>
        <w:widowControl/>
        <w:spacing w:after="160" w:line="259" w:lineRule="auto"/>
        <w:jc w:val="left"/>
      </w:pPr>
    </w:p>
    <w:p w14:paraId="4A1DA4D6" w14:textId="77777777" w:rsidR="00CB0F6B" w:rsidRDefault="00CB0F6B">
      <w:pPr>
        <w:widowControl/>
        <w:spacing w:after="160" w:line="259" w:lineRule="auto"/>
        <w:jc w:val="left"/>
      </w:pPr>
    </w:p>
    <w:p w14:paraId="6E498A85" w14:textId="77777777" w:rsidR="00CB0F6B" w:rsidRDefault="00CB0F6B">
      <w:pPr>
        <w:widowControl/>
        <w:spacing w:after="160" w:line="259" w:lineRule="auto"/>
        <w:jc w:val="left"/>
      </w:pPr>
    </w:p>
    <w:p w14:paraId="1653F5EC" w14:textId="77777777" w:rsidR="00CB0F6B" w:rsidRDefault="00CB0F6B">
      <w:pPr>
        <w:widowControl/>
        <w:spacing w:after="160" w:line="259" w:lineRule="auto"/>
        <w:jc w:val="left"/>
      </w:pPr>
    </w:p>
    <w:p w14:paraId="2E0E1DE6" w14:textId="2987AB38" w:rsidR="00CB0F6B" w:rsidRDefault="00CB0F6B">
      <w:pPr>
        <w:widowControl/>
        <w:spacing w:after="160" w:line="259" w:lineRule="auto"/>
        <w:jc w:val="left"/>
      </w:pPr>
    </w:p>
    <w:p w14:paraId="6E9DDF1D" w14:textId="5C592947" w:rsidR="00CB0F6B" w:rsidRDefault="00CB0F6B">
      <w:pPr>
        <w:widowControl/>
        <w:spacing w:after="160" w:line="259" w:lineRule="auto"/>
        <w:jc w:val="left"/>
      </w:pPr>
    </w:p>
    <w:p w14:paraId="39853E37" w14:textId="3E72E20F" w:rsidR="00CB0F6B" w:rsidRDefault="00571D88">
      <w:pPr>
        <w:widowControl/>
        <w:spacing w:after="160" w:line="259" w:lineRule="auto"/>
        <w:jc w:val="left"/>
      </w:pPr>
      <w:r>
        <w:rPr>
          <w:noProof/>
          <w:lang w:val="de-DE" w:eastAsia="ja-JP"/>
        </w:rPr>
        <mc:AlternateContent>
          <mc:Choice Requires="wps">
            <w:drawing>
              <wp:anchor distT="0" distB="0" distL="114300" distR="114300" simplePos="0" relativeHeight="251682816" behindDoc="0" locked="0" layoutInCell="1" allowOverlap="1" wp14:anchorId="0E57E85D" wp14:editId="4F23F71D">
                <wp:simplePos x="0" y="0"/>
                <wp:positionH relativeFrom="column">
                  <wp:posOffset>-514350</wp:posOffset>
                </wp:positionH>
                <wp:positionV relativeFrom="paragraph">
                  <wp:posOffset>339725</wp:posOffset>
                </wp:positionV>
                <wp:extent cx="3096260" cy="224155"/>
                <wp:effectExtent l="0" t="0" r="889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12D7" w14:textId="77777777" w:rsidR="008D0391" w:rsidRPr="009374C0" w:rsidRDefault="008D0391" w:rsidP="005E5DC1">
                            <w:pPr>
                              <w:shd w:val="clear" w:color="auto" w:fill="FFFFFF"/>
                              <w:tabs>
                                <w:tab w:val="left" w:pos="163"/>
                              </w:tabs>
                              <w:autoSpaceDE w:val="0"/>
                              <w:autoSpaceDN w:val="0"/>
                              <w:adjustRightInd w:val="0"/>
                              <w:spacing w:line="240" w:lineRule="auto"/>
                              <w:rPr>
                                <w:rFonts w:ascii="Gill Sans MT" w:hAnsi="Gill Sans MT" w:cs="Arial"/>
                                <w:color w:val="5F5F5F"/>
                                <w:sz w:val="18"/>
                                <w:szCs w:val="18"/>
                              </w:rPr>
                            </w:pPr>
                            <w:r w:rsidRPr="009374C0">
                              <w:rPr>
                                <w:rFonts w:ascii="Gill Sans MT" w:eastAsia="Calibri" w:hAnsi="Gill Sans MT" w:cs="Arial"/>
                                <w:b/>
                                <w:bCs/>
                                <w:caps/>
                                <w:color w:val="006747"/>
                                <w:sz w:val="21"/>
                                <w:szCs w:val="22"/>
                                <w:lang w:val="it-IT"/>
                              </w:rPr>
                              <w:t>Risultati ottenuti nel passato</w:t>
                            </w:r>
                          </w:p>
                          <w:p w14:paraId="790DA84A" w14:textId="6CB66FC7" w:rsidR="008D0391" w:rsidRPr="006F31C1" w:rsidRDefault="008D0391" w:rsidP="00547654">
                            <w:pPr>
                              <w:shd w:val="clear" w:color="auto" w:fill="FFFFFF"/>
                              <w:tabs>
                                <w:tab w:val="left" w:pos="163"/>
                              </w:tabs>
                              <w:autoSpaceDE w:val="0"/>
                              <w:autoSpaceDN w:val="0"/>
                              <w:adjustRightInd w:val="0"/>
                              <w:spacing w:line="240" w:lineRule="auto"/>
                              <w:rPr>
                                <w:rFonts w:cs="Arial"/>
                                <w:color w:val="5F5F5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7E85D" id="_x0000_s1039" type="#_x0000_t202" style="position:absolute;margin-left:-40.5pt;margin-top:26.75pt;width:243.8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ZLhQ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" stroked="f">
                <v:textbox>
                  <w:txbxContent>
                    <w:p w14:paraId="2DEB12D7" w14:textId="77777777" w:rsidR="008D0391" w:rsidRPr="009374C0" w:rsidRDefault="008D0391" w:rsidP="005E5DC1">
                      <w:pPr>
                        <w:shd w:val="clear" w:color="auto" w:fill="FFFFFF"/>
                        <w:tabs>
                          <w:tab w:val="left" w:pos="163"/>
                        </w:tabs>
                        <w:autoSpaceDE w:val="0"/>
                        <w:autoSpaceDN w:val="0"/>
                        <w:adjustRightInd w:val="0"/>
                        <w:spacing w:line="240" w:lineRule="auto"/>
                        <w:rPr>
                          <w:rFonts w:ascii="Gill Sans MT" w:hAnsi="Gill Sans MT" w:cs="Arial"/>
                          <w:color w:val="5F5F5F"/>
                          <w:sz w:val="18"/>
                          <w:szCs w:val="18"/>
                        </w:rPr>
                      </w:pPr>
                      <w:r w:rsidRPr="009374C0">
                        <w:rPr>
                          <w:rFonts w:ascii="Gill Sans MT" w:eastAsia="Calibri" w:hAnsi="Gill Sans MT" w:cs="Arial"/>
                          <w:b/>
                          <w:bCs/>
                          <w:caps/>
                          <w:color w:val="006747"/>
                          <w:sz w:val="21"/>
                          <w:szCs w:val="22"/>
                          <w:lang w:val="it-IT"/>
                        </w:rPr>
                        <w:t>Risultati ottenuti nel passato</w:t>
                      </w:r>
                    </w:p>
                    <w:p w14:paraId="790DA84A" w14:textId="6CB66FC7" w:rsidR="008D0391" w:rsidRPr="006F31C1" w:rsidRDefault="008D0391" w:rsidP="00547654">
                      <w:pPr>
                        <w:shd w:val="clear" w:color="auto" w:fill="FFFFFF"/>
                        <w:tabs>
                          <w:tab w:val="left" w:pos="163"/>
                        </w:tabs>
                        <w:autoSpaceDE w:val="0"/>
                        <w:autoSpaceDN w:val="0"/>
                        <w:adjustRightInd w:val="0"/>
                        <w:spacing w:line="240" w:lineRule="auto"/>
                        <w:rPr>
                          <w:rFonts w:cs="Arial"/>
                          <w:color w:val="5F5F5F"/>
                          <w:sz w:val="18"/>
                          <w:szCs w:val="18"/>
                        </w:rPr>
                      </w:pPr>
                    </w:p>
                  </w:txbxContent>
                </v:textbox>
              </v:shape>
            </w:pict>
          </mc:Fallback>
        </mc:AlternateContent>
      </w:r>
      <w:r>
        <w:rPr>
          <w:noProof/>
          <w:color w:val="000000"/>
          <w:lang w:val="de-DE" w:eastAsia="ja-JP"/>
        </w:rPr>
        <mc:AlternateContent>
          <mc:Choice Requires="wps">
            <w:drawing>
              <wp:anchor distT="0" distB="0" distL="114300" distR="114300" simplePos="0" relativeHeight="251680768" behindDoc="0" locked="0" layoutInCell="1" allowOverlap="1" wp14:anchorId="2ED6B05F" wp14:editId="035CECAD">
                <wp:simplePos x="0" y="0"/>
                <wp:positionH relativeFrom="margin">
                  <wp:posOffset>-477520</wp:posOffset>
                </wp:positionH>
                <wp:positionV relativeFrom="paragraph">
                  <wp:posOffset>325755</wp:posOffset>
                </wp:positionV>
                <wp:extent cx="6840220" cy="8255"/>
                <wp:effectExtent l="0" t="0" r="36830" b="29845"/>
                <wp:wrapNone/>
                <wp:docPr id="1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8255"/>
                        </a:xfrm>
                        <a:prstGeom prst="straightConnector1">
                          <a:avLst/>
                        </a:prstGeom>
                        <a:noFill/>
                        <a:ln w="9525">
                          <a:solidFill>
                            <a:srgbClr val="0067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C3979" id="AutoShape 129" o:spid="_x0000_s1026" type="#_x0000_t32" style="position:absolute;margin-left:-37.6pt;margin-top:25.65pt;width:538.6pt;height:.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awJgIAAEEEAAAOAAAAZHJzL2Uyb0RvYy54bWysU02P2jAQvVfqf7B8h3w0s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" strokecolor="#006747">
                <w10:wrap anchorx="margin"/>
              </v:shape>
            </w:pict>
          </mc:Fallback>
        </mc:AlternateContent>
      </w:r>
    </w:p>
    <w:p w14:paraId="69D20D1C" w14:textId="166BBE5E" w:rsidR="00F631E3" w:rsidRDefault="00F631E3">
      <w:pPr>
        <w:widowControl/>
        <w:spacing w:after="160" w:line="259" w:lineRule="auto"/>
        <w:jc w:val="left"/>
      </w:pPr>
    </w:p>
    <w:p w14:paraId="4FE81C06" w14:textId="5ECEEA35" w:rsidR="009813A8" w:rsidRDefault="00571D88">
      <w:pPr>
        <w:widowControl/>
        <w:spacing w:after="160" w:line="259" w:lineRule="auto"/>
        <w:jc w:val="left"/>
        <w:rPr>
          <w:noProof/>
        </w:rPr>
      </w:pPr>
      <w:r>
        <w:rPr>
          <w:noProof/>
          <w:lang w:val="de-DE" w:eastAsia="ja-JP"/>
        </w:rPr>
        <w:drawing>
          <wp:anchor distT="0" distB="0" distL="114300" distR="114300" simplePos="0" relativeHeight="251656189" behindDoc="0" locked="0" layoutInCell="1" allowOverlap="1" wp14:anchorId="31D17497" wp14:editId="3424C8BE">
            <wp:simplePos x="0" y="0"/>
            <wp:positionH relativeFrom="column">
              <wp:posOffset>19050</wp:posOffset>
            </wp:positionH>
            <wp:positionV relativeFrom="paragraph">
              <wp:posOffset>55880</wp:posOffset>
            </wp:positionV>
            <wp:extent cx="5361305" cy="12661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61305" cy="1266190"/>
                    </a:xfrm>
                    <a:prstGeom prst="rect">
                      <a:avLst/>
                    </a:prstGeom>
                  </pic:spPr>
                </pic:pic>
              </a:graphicData>
            </a:graphic>
            <wp14:sizeRelH relativeFrom="page">
              <wp14:pctWidth>0</wp14:pctWidth>
            </wp14:sizeRelH>
            <wp14:sizeRelV relativeFrom="page">
              <wp14:pctHeight>0</wp14:pctHeight>
            </wp14:sizeRelV>
          </wp:anchor>
        </w:drawing>
      </w:r>
    </w:p>
    <w:p w14:paraId="7D153BAF" w14:textId="41B826D7" w:rsidR="00D91E47" w:rsidRDefault="007B4BEC" w:rsidP="009813A8">
      <w:pPr>
        <w:widowControl/>
        <w:spacing w:after="160" w:line="259" w:lineRule="auto"/>
      </w:pPr>
      <w:r w:rsidRPr="007B4BEC">
        <w:rPr>
          <w:noProof/>
        </w:rPr>
        <w:t xml:space="preserve">  </w:t>
      </w:r>
    </w:p>
    <w:p w14:paraId="2FDBC5E8" w14:textId="261CFEEF" w:rsidR="00D91E47" w:rsidRDefault="00D91E47">
      <w:pPr>
        <w:widowControl/>
        <w:spacing w:after="160" w:line="259" w:lineRule="auto"/>
        <w:jc w:val="left"/>
      </w:pPr>
    </w:p>
    <w:p w14:paraId="59D3C0D3" w14:textId="3BCA8FB1" w:rsidR="00D91E47" w:rsidRDefault="00D91E47">
      <w:pPr>
        <w:widowControl/>
        <w:spacing w:after="160" w:line="259" w:lineRule="auto"/>
        <w:jc w:val="left"/>
      </w:pPr>
    </w:p>
    <w:p w14:paraId="03DC48A2" w14:textId="5A881BA9" w:rsidR="005B6E23" w:rsidRDefault="00120DBA" w:rsidP="00571D88">
      <w:pPr>
        <w:widowControl/>
        <w:spacing w:after="160" w:line="259" w:lineRule="auto"/>
        <w:jc w:val="left"/>
      </w:pPr>
      <w:r>
        <w:rPr>
          <w:noProof/>
          <w:lang w:val="de-DE" w:eastAsia="ja-JP"/>
        </w:rPr>
        <mc:AlternateContent>
          <mc:Choice Requires="wps">
            <w:drawing>
              <wp:anchor distT="0" distB="0" distL="114300" distR="114300" simplePos="0" relativeHeight="251693056" behindDoc="0" locked="0" layoutInCell="1" allowOverlap="1" wp14:anchorId="49686F48" wp14:editId="75F798D4">
                <wp:simplePos x="0" y="0"/>
                <wp:positionH relativeFrom="column">
                  <wp:posOffset>-466725</wp:posOffset>
                </wp:positionH>
                <wp:positionV relativeFrom="paragraph">
                  <wp:posOffset>1381125</wp:posOffset>
                </wp:positionV>
                <wp:extent cx="3359150" cy="235267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C2DBB" w14:textId="77777777" w:rsidR="008D0391" w:rsidRPr="0057606F" w:rsidRDefault="008D0391" w:rsidP="00571D88">
                            <w:pPr>
                              <w:pStyle w:val="KIIDbullet1"/>
                              <w:spacing w:after="60" w:line="200" w:lineRule="exact"/>
                              <w:ind w:left="284" w:hanging="284"/>
                              <w:rPr>
                                <w:rFonts w:cs="Arial"/>
                                <w:bCs/>
                                <w:sz w:val="17"/>
                                <w:szCs w:val="17"/>
                                <w:lang w:val="it-IT"/>
                              </w:rPr>
                            </w:pPr>
                            <w:r w:rsidRPr="0057606F">
                              <w:rPr>
                                <w:rFonts w:cs="Arial"/>
                                <w:bCs/>
                                <w:sz w:val="17"/>
                                <w:szCs w:val="17"/>
                                <w:lang w:val="it-IT"/>
                              </w:rPr>
                              <w:t xml:space="preserve">Una copia della Politica retributiva della Società è disponibile sul sito https://www.cqs.com/documents/regulatory-disclosures/cqs_ucits_remuneration_policy.pdf </w:t>
                            </w:r>
                          </w:p>
                          <w:p w14:paraId="13585DF8" w14:textId="7404A13B" w:rsidR="008D0391" w:rsidRPr="0057606F" w:rsidRDefault="008D0391" w:rsidP="00571D88">
                            <w:pPr>
                              <w:pStyle w:val="KIIDbullet1"/>
                              <w:spacing w:after="60" w:line="200" w:lineRule="exact"/>
                              <w:ind w:left="284" w:hanging="284"/>
                              <w:rPr>
                                <w:rFonts w:cs="Arial"/>
                                <w:bCs/>
                                <w:sz w:val="17"/>
                                <w:szCs w:val="17"/>
                                <w:lang w:val="it-IT"/>
                              </w:rPr>
                            </w:pPr>
                            <w:r w:rsidRPr="0057606F">
                              <w:rPr>
                                <w:rFonts w:cs="Arial"/>
                                <w:bCs/>
                                <w:sz w:val="17"/>
                                <w:szCs w:val="17"/>
                                <w:lang w:val="it-IT"/>
                              </w:rPr>
                              <w:t xml:space="preserve">I dati della politica di remunerazione del Gestore sono disponibili sul sito www.kbassociates.ie. È disponibile su richiesta una versione cartacea della politica di remunerazione. </w:t>
                            </w:r>
                          </w:p>
                          <w:p w14:paraId="4019ABE4" w14:textId="6CA2C698" w:rsidR="008D0391" w:rsidRPr="00571D88" w:rsidRDefault="008D0391" w:rsidP="00571D88">
                            <w:pPr>
                              <w:pStyle w:val="KIIDbullet1"/>
                              <w:spacing w:after="60" w:line="200" w:lineRule="exact"/>
                              <w:ind w:left="284" w:hanging="284"/>
                              <w:rPr>
                                <w:rFonts w:cs="Arial"/>
                                <w:bCs/>
                                <w:sz w:val="17"/>
                                <w:szCs w:val="17"/>
                                <w:lang w:val="it-IT"/>
                              </w:rPr>
                            </w:pPr>
                            <w:r w:rsidRPr="0057606F">
                              <w:rPr>
                                <w:rFonts w:cs="Arial"/>
                                <w:bCs/>
                                <w:sz w:val="17"/>
                                <w:szCs w:val="17"/>
                                <w:lang w:val="it-IT"/>
                              </w:rPr>
                              <w:t xml:space="preserve">Il Depositario è BNP Paribas Securities </w:t>
                            </w:r>
                            <w:r w:rsidRPr="00571D88">
                              <w:rPr>
                                <w:rFonts w:cs="Arial"/>
                                <w:bCs/>
                                <w:sz w:val="17"/>
                                <w:szCs w:val="17"/>
                                <w:lang w:val="it-IT"/>
                              </w:rPr>
                              <w:t xml:space="preserve">Services, Dublin Branch. </w:t>
                            </w:r>
                          </w:p>
                          <w:p w14:paraId="33E41788" w14:textId="0D6601A1" w:rsidR="008D0391" w:rsidRPr="00571D88" w:rsidRDefault="008D0391" w:rsidP="00571D88">
                            <w:pPr>
                              <w:pStyle w:val="KIIDbullet1"/>
                              <w:spacing w:after="60" w:line="200" w:lineRule="exact"/>
                              <w:ind w:left="284" w:hanging="284"/>
                              <w:rPr>
                                <w:rFonts w:cs="Arial"/>
                                <w:bCs/>
                                <w:sz w:val="17"/>
                                <w:szCs w:val="17"/>
                                <w:lang w:val="it-IT"/>
                              </w:rPr>
                            </w:pPr>
                            <w:r w:rsidRPr="00571D88">
                              <w:rPr>
                                <w:rFonts w:cs="Arial"/>
                                <w:bCs/>
                                <w:sz w:val="17"/>
                                <w:szCs w:val="17"/>
                                <w:lang w:val="it-IT"/>
                              </w:rPr>
                              <w:t>Le informazioni sul Fondo e le copie del Prospetto e del Supplemento, le dichiarazioni finanziarie e il rapporto annuale verificato più recenti, e il rapporto semestrale successivo non verificato sono disponibili gratuitamente in lingua inglese presso l’amministratore, BNP Paribas Fund Administration Services (Ireland) Limited (l’</w:t>
                            </w:r>
                            <w:r w:rsidRPr="00571D88">
                              <w:rPr>
                                <w:rFonts w:cs="Arial"/>
                                <w:b/>
                                <w:bCs/>
                                <w:sz w:val="17"/>
                                <w:szCs w:val="17"/>
                                <w:lang w:val="it-IT"/>
                              </w:rPr>
                              <w:t>Amministratore</w:t>
                            </w:r>
                            <w:r w:rsidRPr="00571D88">
                              <w:rPr>
                                <w:rFonts w:cs="Arial"/>
                                <w:bCs/>
                                <w:sz w:val="17"/>
                                <w:szCs w:val="17"/>
                                <w:lang w:val="it-IT"/>
                              </w:rPr>
                              <w:t xml:space="preserve">) o il gestore dell’investimento, CQS (UK) LLP. </w:t>
                            </w:r>
                          </w:p>
                          <w:p w14:paraId="50677DBE" w14:textId="7BFCFCF7" w:rsidR="008D0391" w:rsidRPr="0057606F" w:rsidRDefault="008D0391" w:rsidP="00571D88">
                            <w:pPr>
                              <w:pStyle w:val="KIIDbullet1"/>
                              <w:spacing w:line="200" w:lineRule="exact"/>
                              <w:ind w:left="284" w:hanging="284"/>
                              <w:rPr>
                                <w:rFonts w:cs="Arial"/>
                                <w:bCs/>
                                <w:sz w:val="17"/>
                                <w:szCs w:val="17"/>
                                <w:lang w:val="it-IT"/>
                              </w:rPr>
                            </w:pPr>
                            <w:r w:rsidRPr="00571D88">
                              <w:rPr>
                                <w:rFonts w:cs="Arial"/>
                                <w:bCs/>
                                <w:sz w:val="17"/>
                                <w:szCs w:val="17"/>
                                <w:lang w:val="it-IT"/>
                              </w:rPr>
                              <w:t>I prezzi di sottoscrizione e di rimborso aggiornati</w:t>
                            </w:r>
                            <w:r w:rsidRPr="0057606F">
                              <w:rPr>
                                <w:rFonts w:cs="Arial"/>
                                <w:bCs/>
                                <w:sz w:val="17"/>
                                <w:szCs w:val="17"/>
                                <w:lang w:val="it-IT"/>
                              </w:rPr>
                              <w:t xml:space="preserve"> possono essere richiesti all'Agente amministrativo. </w:t>
                            </w:r>
                          </w:p>
                          <w:p w14:paraId="4FD794F9" w14:textId="77777777" w:rsidR="008D0391" w:rsidRPr="00DE693D" w:rsidRDefault="008D0391" w:rsidP="00571D88">
                            <w:pPr>
                              <w:pStyle w:val="KIIDbullet1"/>
                              <w:numPr>
                                <w:ilvl w:val="0"/>
                                <w:numId w:val="0"/>
                              </w:numPr>
                              <w:spacing w:after="80" w:line="200" w:lineRule="exact"/>
                              <w:rPr>
                                <w:rFonts w:cs="Arial"/>
                                <w:bCs/>
                                <w:sz w:val="17"/>
                                <w:szCs w:val="17"/>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86F48" id="_x0000_s1040" type="#_x0000_t202" style="position:absolute;margin-left:-36.75pt;margin-top:108.75pt;width:264.5pt;height:18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ohgIAABk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" stroked="f">
                <v:textbox>
                  <w:txbxContent>
                    <w:p w14:paraId="0B2C2DBB" w14:textId="77777777" w:rsidR="008D0391" w:rsidRPr="0057606F" w:rsidRDefault="008D0391" w:rsidP="00571D88">
                      <w:pPr>
                        <w:pStyle w:val="KIIDbullet1"/>
                        <w:spacing w:after="60" w:line="200" w:lineRule="exact"/>
                        <w:ind w:left="284" w:hanging="284"/>
                        <w:rPr>
                          <w:rFonts w:cs="Arial"/>
                          <w:bCs/>
                          <w:sz w:val="17"/>
                          <w:szCs w:val="17"/>
                          <w:lang w:val="it-IT"/>
                        </w:rPr>
                      </w:pPr>
                      <w:r w:rsidRPr="0057606F">
                        <w:rPr>
                          <w:rFonts w:cs="Arial"/>
                          <w:bCs/>
                          <w:sz w:val="17"/>
                          <w:szCs w:val="17"/>
                          <w:lang w:val="it-IT"/>
                        </w:rPr>
                        <w:t xml:space="preserve">Una copia della Politica retributiva della Società è disponibile sul sito https://www.cqs.com/documents/regulatory-disclosures/cqs_ucits_remuneration_policy.pdf </w:t>
                      </w:r>
                    </w:p>
                    <w:p w14:paraId="13585DF8" w14:textId="7404A13B" w:rsidR="008D0391" w:rsidRPr="0057606F" w:rsidRDefault="008D0391" w:rsidP="00571D88">
                      <w:pPr>
                        <w:pStyle w:val="KIIDbullet1"/>
                        <w:spacing w:after="60" w:line="200" w:lineRule="exact"/>
                        <w:ind w:left="284" w:hanging="284"/>
                        <w:rPr>
                          <w:rFonts w:cs="Arial"/>
                          <w:bCs/>
                          <w:sz w:val="17"/>
                          <w:szCs w:val="17"/>
                          <w:lang w:val="it-IT"/>
                        </w:rPr>
                      </w:pPr>
                      <w:r w:rsidRPr="0057606F">
                        <w:rPr>
                          <w:rFonts w:cs="Arial"/>
                          <w:bCs/>
                          <w:sz w:val="17"/>
                          <w:szCs w:val="17"/>
                          <w:lang w:val="it-IT"/>
                        </w:rPr>
                        <w:t xml:space="preserve">I dati della politica di remunerazione del Gestore sono disponibili sul sito www.kbassociates.ie. È disponibile su richiesta una versione cartacea della politica di remunerazione. </w:t>
                      </w:r>
                    </w:p>
                    <w:p w14:paraId="4019ABE4" w14:textId="6CA2C698" w:rsidR="008D0391" w:rsidRPr="00571D88" w:rsidRDefault="008D0391" w:rsidP="00571D88">
                      <w:pPr>
                        <w:pStyle w:val="KIIDbullet1"/>
                        <w:spacing w:after="60" w:line="200" w:lineRule="exact"/>
                        <w:ind w:left="284" w:hanging="284"/>
                        <w:rPr>
                          <w:rFonts w:cs="Arial"/>
                          <w:bCs/>
                          <w:sz w:val="17"/>
                          <w:szCs w:val="17"/>
                          <w:lang w:val="it-IT"/>
                        </w:rPr>
                      </w:pPr>
                      <w:r w:rsidRPr="0057606F">
                        <w:rPr>
                          <w:rFonts w:cs="Arial"/>
                          <w:bCs/>
                          <w:sz w:val="17"/>
                          <w:szCs w:val="17"/>
                          <w:lang w:val="it-IT"/>
                        </w:rPr>
                        <w:t xml:space="preserve">Il Depositario è BNP Paribas Securities </w:t>
                      </w:r>
                      <w:r w:rsidRPr="00571D88">
                        <w:rPr>
                          <w:rFonts w:cs="Arial"/>
                          <w:bCs/>
                          <w:sz w:val="17"/>
                          <w:szCs w:val="17"/>
                          <w:lang w:val="it-IT"/>
                        </w:rPr>
                        <w:t xml:space="preserve">Services, Dublin Branch. </w:t>
                      </w:r>
                    </w:p>
                    <w:p w14:paraId="33E41788" w14:textId="0D6601A1" w:rsidR="008D0391" w:rsidRPr="00571D88" w:rsidRDefault="008D0391" w:rsidP="00571D88">
                      <w:pPr>
                        <w:pStyle w:val="KIIDbullet1"/>
                        <w:spacing w:after="60" w:line="200" w:lineRule="exact"/>
                        <w:ind w:left="284" w:hanging="284"/>
                        <w:rPr>
                          <w:rFonts w:cs="Arial"/>
                          <w:bCs/>
                          <w:sz w:val="17"/>
                          <w:szCs w:val="17"/>
                          <w:lang w:val="it-IT"/>
                        </w:rPr>
                      </w:pPr>
                      <w:r w:rsidRPr="00571D88">
                        <w:rPr>
                          <w:rFonts w:cs="Arial"/>
                          <w:bCs/>
                          <w:sz w:val="17"/>
                          <w:szCs w:val="17"/>
                          <w:lang w:val="it-IT"/>
                        </w:rPr>
                        <w:t xml:space="preserve">Le informazioni sul Fondo e le copie del Prospetto e del Supplemento, le dichiarazioni finanziarie e il rapporto annuale verificato più recenti, e il rapporto semestrale successivo non verificato sono disponibili gratuitamente in lingua inglese </w:t>
                      </w:r>
                      <w:r w:rsidRPr="00571D88">
                        <w:rPr>
                          <w:rFonts w:cs="Arial"/>
                          <w:bCs/>
                          <w:sz w:val="17"/>
                          <w:szCs w:val="17"/>
                          <w:lang w:val="it-IT"/>
                        </w:rPr>
                        <w:t>presso l’amministratore, BNP Paribas Fund Administration Services (Ireland) Limited (l’</w:t>
                      </w:r>
                      <w:r w:rsidRPr="00571D88">
                        <w:rPr>
                          <w:rFonts w:cs="Arial"/>
                          <w:b/>
                          <w:bCs/>
                          <w:sz w:val="17"/>
                          <w:szCs w:val="17"/>
                          <w:lang w:val="it-IT"/>
                        </w:rPr>
                        <w:t>Amministratore</w:t>
                      </w:r>
                      <w:r w:rsidRPr="00571D88">
                        <w:rPr>
                          <w:rFonts w:cs="Arial"/>
                          <w:bCs/>
                          <w:sz w:val="17"/>
                          <w:szCs w:val="17"/>
                          <w:lang w:val="it-IT"/>
                        </w:rPr>
                        <w:t xml:space="preserve">) o il gestore dell’investimento, CQS (UK) LLP. </w:t>
                      </w:r>
                    </w:p>
                    <w:p w14:paraId="50677DBE" w14:textId="7BFCFCF7" w:rsidR="008D0391" w:rsidRPr="0057606F" w:rsidRDefault="008D0391" w:rsidP="00571D88">
                      <w:pPr>
                        <w:pStyle w:val="KIIDbullet1"/>
                        <w:spacing w:line="200" w:lineRule="exact"/>
                        <w:ind w:left="284" w:hanging="284"/>
                        <w:rPr>
                          <w:rFonts w:cs="Arial"/>
                          <w:bCs/>
                          <w:sz w:val="17"/>
                          <w:szCs w:val="17"/>
                          <w:lang w:val="it-IT"/>
                        </w:rPr>
                      </w:pPr>
                      <w:r w:rsidRPr="00571D88">
                        <w:rPr>
                          <w:rFonts w:cs="Arial"/>
                          <w:bCs/>
                          <w:sz w:val="17"/>
                          <w:szCs w:val="17"/>
                          <w:lang w:val="it-IT"/>
                        </w:rPr>
                        <w:t>I prezzi di sottoscrizione e di rimborso aggiornati</w:t>
                      </w:r>
                      <w:r w:rsidRPr="0057606F">
                        <w:rPr>
                          <w:rFonts w:cs="Arial"/>
                          <w:bCs/>
                          <w:sz w:val="17"/>
                          <w:szCs w:val="17"/>
                          <w:lang w:val="it-IT"/>
                        </w:rPr>
                        <w:t xml:space="preserve"> possono essere richiesti all'Agente amministrativo. </w:t>
                      </w:r>
                    </w:p>
                    <w:p w14:paraId="4FD794F9" w14:textId="77777777" w:rsidR="008D0391" w:rsidRPr="00DE693D" w:rsidRDefault="008D0391" w:rsidP="00571D88">
                      <w:pPr>
                        <w:pStyle w:val="KIIDbullet1"/>
                        <w:numPr>
                          <w:ilvl w:val="0"/>
                          <w:numId w:val="0"/>
                        </w:numPr>
                        <w:spacing w:after="80" w:line="200" w:lineRule="exact"/>
                        <w:rPr>
                          <w:rFonts w:cs="Arial"/>
                          <w:bCs/>
                          <w:sz w:val="17"/>
                          <w:szCs w:val="17"/>
                          <w:lang w:val="it-IT"/>
                        </w:rPr>
                      </w:pPr>
                    </w:p>
                  </w:txbxContent>
                </v:textbox>
              </v:shape>
            </w:pict>
          </mc:Fallback>
        </mc:AlternateContent>
      </w:r>
      <w:r>
        <w:rPr>
          <w:noProof/>
          <w:lang w:val="de-DE" w:eastAsia="ja-JP"/>
        </w:rPr>
        <mc:AlternateContent>
          <mc:Choice Requires="wps">
            <w:drawing>
              <wp:anchor distT="0" distB="0" distL="114300" distR="114300" simplePos="0" relativeHeight="251691008" behindDoc="0" locked="0" layoutInCell="1" allowOverlap="1" wp14:anchorId="433AE50E" wp14:editId="772F2026">
                <wp:simplePos x="0" y="0"/>
                <wp:positionH relativeFrom="column">
                  <wp:posOffset>3032760</wp:posOffset>
                </wp:positionH>
                <wp:positionV relativeFrom="paragraph">
                  <wp:posOffset>1143000</wp:posOffset>
                </wp:positionV>
                <wp:extent cx="3275965" cy="26289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6402E" w14:textId="3511458E" w:rsidR="008D0391" w:rsidRPr="00571D88" w:rsidRDefault="008D0391" w:rsidP="00571D88">
                            <w:pPr>
                              <w:pStyle w:val="KIIDbullet1"/>
                              <w:numPr>
                                <w:ilvl w:val="0"/>
                                <w:numId w:val="10"/>
                              </w:numPr>
                              <w:spacing w:after="60" w:line="200" w:lineRule="exact"/>
                              <w:ind w:left="284" w:hanging="284"/>
                              <w:rPr>
                                <w:rFonts w:cs="Arial"/>
                                <w:bCs/>
                                <w:sz w:val="17"/>
                                <w:szCs w:val="17"/>
                                <w:lang w:val="it-IT"/>
                              </w:rPr>
                            </w:pPr>
                            <w:r w:rsidRPr="0057606F">
                              <w:rPr>
                                <w:rFonts w:cs="Arial"/>
                                <w:bCs/>
                                <w:sz w:val="17"/>
                                <w:szCs w:val="17"/>
                                <w:lang w:val="it-IT"/>
                              </w:rPr>
                              <w:t xml:space="preserve">La legislazione fiscale irlandese può avere un impatto sulla vostra posizione fiscale personale. Siete invitati a rivolgervi al vostro </w:t>
                            </w:r>
                            <w:r w:rsidRPr="00571D88">
                              <w:rPr>
                                <w:rFonts w:cs="Arial"/>
                                <w:bCs/>
                                <w:sz w:val="17"/>
                                <w:szCs w:val="17"/>
                                <w:lang w:val="it-IT"/>
                              </w:rPr>
                              <w:t xml:space="preserve">consulente fiscale di fiducia. </w:t>
                            </w:r>
                          </w:p>
                          <w:p w14:paraId="1A32BDC6" w14:textId="24583F46" w:rsidR="008D0391" w:rsidRPr="00571D88" w:rsidRDefault="008D0391" w:rsidP="00571D88">
                            <w:pPr>
                              <w:pStyle w:val="KIIDbullet1"/>
                              <w:numPr>
                                <w:ilvl w:val="0"/>
                                <w:numId w:val="10"/>
                              </w:numPr>
                              <w:spacing w:after="60" w:line="200" w:lineRule="exact"/>
                              <w:ind w:left="284" w:hanging="284"/>
                              <w:rPr>
                                <w:rFonts w:cs="Arial"/>
                                <w:bCs/>
                                <w:sz w:val="17"/>
                                <w:szCs w:val="17"/>
                                <w:lang w:val="it-IT"/>
                              </w:rPr>
                            </w:pPr>
                            <w:r w:rsidRPr="00571D88">
                              <w:rPr>
                                <w:rFonts w:cs="Arial"/>
                                <w:bCs/>
                                <w:sz w:val="17"/>
                                <w:szCs w:val="17"/>
                                <w:lang w:val="it-IT"/>
                              </w:rPr>
                              <w:t xml:space="preserve">Il Gestore può essere ritenuta responsabile esclusivamente sulla base delle dichiarazioni contenute nel presente documento che risultano fuorvianti, inesatte o incoerenti rispetto alle corrispondenti parti del prospetto e/o del supplemento. Le attività e le passività di ciascun comparto della Società sono separate ai sensi della legislazione irlandese. </w:t>
                            </w:r>
                          </w:p>
                          <w:p w14:paraId="27A7032A" w14:textId="6CFB3525" w:rsidR="008D0391" w:rsidRPr="00571D88" w:rsidRDefault="008D0391" w:rsidP="00571D88">
                            <w:pPr>
                              <w:pStyle w:val="KIIDbullet1"/>
                              <w:numPr>
                                <w:ilvl w:val="0"/>
                                <w:numId w:val="10"/>
                              </w:numPr>
                              <w:spacing w:after="60" w:line="200" w:lineRule="exact"/>
                              <w:ind w:left="284" w:hanging="284"/>
                              <w:rPr>
                                <w:rFonts w:cs="Arial"/>
                                <w:bCs/>
                                <w:sz w:val="17"/>
                                <w:szCs w:val="17"/>
                                <w:lang w:val="it-IT"/>
                              </w:rPr>
                            </w:pPr>
                            <w:r w:rsidRPr="00571D88">
                              <w:rPr>
                                <w:rFonts w:cs="Arial"/>
                                <w:bCs/>
                                <w:sz w:val="17"/>
                                <w:szCs w:val="17"/>
                                <w:lang w:val="it-IT"/>
                              </w:rPr>
                              <w:t xml:space="preserve">Il Gestore è autorizzato in Irlanda e regolamentato dalla Banca Centrale dell’Irlanda. </w:t>
                            </w:r>
                          </w:p>
                          <w:p w14:paraId="509D6007" w14:textId="538DA1D8" w:rsidR="008D0391" w:rsidRPr="00544424" w:rsidRDefault="008D0391" w:rsidP="00120DBA">
                            <w:pPr>
                              <w:pStyle w:val="KIIDbullet1"/>
                              <w:numPr>
                                <w:ilvl w:val="0"/>
                                <w:numId w:val="10"/>
                              </w:numPr>
                              <w:spacing w:line="200" w:lineRule="exact"/>
                              <w:ind w:left="284" w:hanging="284"/>
                              <w:rPr>
                                <w:rFonts w:cs="Arial"/>
                                <w:bCs/>
                                <w:sz w:val="17"/>
                                <w:szCs w:val="17"/>
                                <w:lang w:val="it-IT"/>
                              </w:rPr>
                            </w:pPr>
                            <w:bookmarkStart w:id="1" w:name="_Hlk106030897"/>
                            <w:bookmarkStart w:id="2" w:name="_Hlk106030898"/>
                            <w:r w:rsidRPr="00571D88">
                              <w:rPr>
                                <w:rFonts w:cs="Arial"/>
                                <w:bCs/>
                                <w:sz w:val="17"/>
                                <w:szCs w:val="17"/>
                                <w:lang w:val="it-IT"/>
                              </w:rPr>
                              <w:t xml:space="preserve">Queste informazioni chiave per gli investitori fanno riferimento alla classe di azioni (del Fondo) cui si fa riferimento nel titolo del documento. Informazioni più specifiche in merito alla Società e al Fondo, ivi comprese quelle relative alle modalità di acquisto, </w:t>
                            </w:r>
                            <w:r w:rsidR="00120DBA">
                              <w:rPr>
                                <w:rFonts w:cs="Arial"/>
                                <w:bCs/>
                                <w:sz w:val="17"/>
                                <w:szCs w:val="17"/>
                                <w:lang w:val="it-IT"/>
                              </w:rPr>
                              <w:t xml:space="preserve"> </w:t>
                            </w:r>
                            <w:r w:rsidRPr="00571D88">
                              <w:rPr>
                                <w:rFonts w:cs="Arial"/>
                                <w:bCs/>
                                <w:sz w:val="17"/>
                                <w:szCs w:val="17"/>
                                <w:lang w:val="it-IT"/>
                              </w:rPr>
                              <w:t>e nel supplemento. Il Prospetto, il rapporto e i conti annuali verificati e i rapporti semestrali non verificati vengono preparati per l’Azienda in un unico</w:t>
                            </w:r>
                            <w:r w:rsidRPr="0057606F">
                              <w:rPr>
                                <w:rFonts w:cs="Arial"/>
                                <w:bCs/>
                                <w:sz w:val="17"/>
                                <w:szCs w:val="17"/>
                                <w:lang w:val="it-IT"/>
                              </w:rPr>
                              <w:t xml:space="preserve"> insieme. </w:t>
                            </w:r>
                            <w:bookmarkEnd w:id="1"/>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AE50E" id="_x0000_s1041" type="#_x0000_t202" style="position:absolute;margin-left:238.8pt;margin-top:90pt;width:257.95pt;height:2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6YiA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" stroked="f">
                <v:textbox>
                  <w:txbxContent>
                    <w:p w14:paraId="0AA6402E" w14:textId="3511458E" w:rsidR="008D0391" w:rsidRPr="00571D88" w:rsidRDefault="008D0391" w:rsidP="00571D88">
                      <w:pPr>
                        <w:pStyle w:val="KIIDbullet1"/>
                        <w:numPr>
                          <w:ilvl w:val="0"/>
                          <w:numId w:val="10"/>
                        </w:numPr>
                        <w:spacing w:after="60" w:line="200" w:lineRule="exact"/>
                        <w:ind w:left="284" w:hanging="284"/>
                        <w:rPr>
                          <w:rFonts w:cs="Arial"/>
                          <w:bCs/>
                          <w:sz w:val="17"/>
                          <w:szCs w:val="17"/>
                          <w:lang w:val="it-IT"/>
                        </w:rPr>
                      </w:pPr>
                      <w:bookmarkStart w:id="3" w:name="_GoBack"/>
                      <w:bookmarkEnd w:id="3"/>
                      <w:r w:rsidRPr="0057606F">
                        <w:rPr>
                          <w:rFonts w:cs="Arial"/>
                          <w:bCs/>
                          <w:sz w:val="17"/>
                          <w:szCs w:val="17"/>
                          <w:lang w:val="it-IT"/>
                        </w:rPr>
                        <w:t xml:space="preserve">La legislazione fiscale irlandese può avere un impatto sulla vostra posizione fiscale personale. Siete invitati a rivolgervi al vostro </w:t>
                      </w:r>
                      <w:r w:rsidRPr="00571D88">
                        <w:rPr>
                          <w:rFonts w:cs="Arial"/>
                          <w:bCs/>
                          <w:sz w:val="17"/>
                          <w:szCs w:val="17"/>
                          <w:lang w:val="it-IT"/>
                        </w:rPr>
                        <w:t xml:space="preserve">consulente fiscale di fiducia. </w:t>
                      </w:r>
                    </w:p>
                    <w:p w14:paraId="1A32BDC6" w14:textId="24583F46" w:rsidR="008D0391" w:rsidRPr="00571D88" w:rsidRDefault="008D0391" w:rsidP="00571D88">
                      <w:pPr>
                        <w:pStyle w:val="KIIDbullet1"/>
                        <w:numPr>
                          <w:ilvl w:val="0"/>
                          <w:numId w:val="10"/>
                        </w:numPr>
                        <w:spacing w:after="60" w:line="200" w:lineRule="exact"/>
                        <w:ind w:left="284" w:hanging="284"/>
                        <w:rPr>
                          <w:rFonts w:cs="Arial"/>
                          <w:bCs/>
                          <w:sz w:val="17"/>
                          <w:szCs w:val="17"/>
                          <w:lang w:val="it-IT"/>
                        </w:rPr>
                      </w:pPr>
                      <w:r w:rsidRPr="00571D88">
                        <w:rPr>
                          <w:rFonts w:cs="Arial"/>
                          <w:bCs/>
                          <w:sz w:val="17"/>
                          <w:szCs w:val="17"/>
                          <w:lang w:val="it-IT"/>
                        </w:rPr>
                        <w:t xml:space="preserve">Il Gestore può essere ritenuta responsabile esclusivamente sulla base delle dichiarazioni contenute nel presente documento che risultano fuorvianti, inesatte o incoerenti rispetto alle corrispondenti parti del prospetto e/o del supplemento. Le attività e le passività di ciascun comparto della Società sono separate ai sensi della legislazione irlandese. </w:t>
                      </w:r>
                    </w:p>
                    <w:p w14:paraId="27A7032A" w14:textId="6CFB3525" w:rsidR="008D0391" w:rsidRPr="00571D88" w:rsidRDefault="008D0391" w:rsidP="00571D88">
                      <w:pPr>
                        <w:pStyle w:val="KIIDbullet1"/>
                        <w:numPr>
                          <w:ilvl w:val="0"/>
                          <w:numId w:val="10"/>
                        </w:numPr>
                        <w:spacing w:after="60" w:line="200" w:lineRule="exact"/>
                        <w:ind w:left="284" w:hanging="284"/>
                        <w:rPr>
                          <w:rFonts w:cs="Arial"/>
                          <w:bCs/>
                          <w:sz w:val="17"/>
                          <w:szCs w:val="17"/>
                          <w:lang w:val="it-IT"/>
                        </w:rPr>
                      </w:pPr>
                      <w:r w:rsidRPr="00571D88">
                        <w:rPr>
                          <w:rFonts w:cs="Arial"/>
                          <w:bCs/>
                          <w:sz w:val="17"/>
                          <w:szCs w:val="17"/>
                          <w:lang w:val="it-IT"/>
                        </w:rPr>
                        <w:t xml:space="preserve">Il Gestore è autorizzato in Irlanda e regolamentato dalla Banca Centrale dell’Irlanda. </w:t>
                      </w:r>
                    </w:p>
                    <w:p w14:paraId="509D6007" w14:textId="538DA1D8" w:rsidR="008D0391" w:rsidRPr="00544424" w:rsidRDefault="008D0391" w:rsidP="00120DBA">
                      <w:pPr>
                        <w:pStyle w:val="KIIDbullet1"/>
                        <w:numPr>
                          <w:ilvl w:val="0"/>
                          <w:numId w:val="10"/>
                        </w:numPr>
                        <w:spacing w:line="200" w:lineRule="exact"/>
                        <w:ind w:left="284" w:hanging="284"/>
                        <w:rPr>
                          <w:rFonts w:cs="Arial"/>
                          <w:bCs/>
                          <w:sz w:val="17"/>
                          <w:szCs w:val="17"/>
                          <w:lang w:val="it-IT"/>
                        </w:rPr>
                      </w:pPr>
                      <w:bookmarkStart w:id="4" w:name="_Hlk106030897"/>
                      <w:bookmarkStart w:id="5" w:name="_Hlk106030898"/>
                      <w:r w:rsidRPr="00571D88">
                        <w:rPr>
                          <w:rFonts w:cs="Arial"/>
                          <w:bCs/>
                          <w:sz w:val="17"/>
                          <w:szCs w:val="17"/>
                          <w:lang w:val="it-IT"/>
                        </w:rPr>
                        <w:t xml:space="preserve">Queste informazioni chiave per gli investitori fanno riferimento alla classe di azioni (del Fondo) cui si fa riferimento nel titolo del documento. Informazioni più specifiche in merito alla Società e al Fondo, ivi comprese quelle relative alle modalità di acquisto, </w:t>
                      </w:r>
                      <w:r w:rsidR="00120DBA">
                        <w:rPr>
                          <w:rFonts w:cs="Arial"/>
                          <w:bCs/>
                          <w:sz w:val="17"/>
                          <w:szCs w:val="17"/>
                          <w:lang w:val="it-IT"/>
                        </w:rPr>
                        <w:t xml:space="preserve"> </w:t>
                      </w:r>
                      <w:r w:rsidRPr="00571D88">
                        <w:rPr>
                          <w:rFonts w:cs="Arial"/>
                          <w:bCs/>
                          <w:sz w:val="17"/>
                          <w:szCs w:val="17"/>
                          <w:lang w:val="it-IT"/>
                        </w:rPr>
                        <w:t>e nel supplemento. Il Prospetto, il rapporto e i conti annuali verificati e i rapporti semestrali non verificati vengono preparati per l’Azienda in un unico</w:t>
                      </w:r>
                      <w:r w:rsidRPr="0057606F">
                        <w:rPr>
                          <w:rFonts w:cs="Arial"/>
                          <w:bCs/>
                          <w:sz w:val="17"/>
                          <w:szCs w:val="17"/>
                          <w:lang w:val="it-IT"/>
                        </w:rPr>
                        <w:t xml:space="preserve"> insieme. </w:t>
                      </w:r>
                      <w:bookmarkEnd w:id="4"/>
                      <w:bookmarkEnd w:id="5"/>
                    </w:p>
                  </w:txbxContent>
                </v:textbox>
              </v:shape>
            </w:pict>
          </mc:Fallback>
        </mc:AlternateContent>
      </w:r>
      <w:r>
        <w:rPr>
          <w:noProof/>
          <w:lang w:val="de-DE" w:eastAsia="ja-JP"/>
        </w:rPr>
        <mc:AlternateContent>
          <mc:Choice Requires="wps">
            <w:drawing>
              <wp:anchor distT="0" distB="0" distL="114300" distR="114300" simplePos="0" relativeHeight="251657214" behindDoc="0" locked="0" layoutInCell="1" allowOverlap="1" wp14:anchorId="652E6D33" wp14:editId="2181A522">
                <wp:simplePos x="0" y="0"/>
                <wp:positionH relativeFrom="column">
                  <wp:posOffset>-552450</wp:posOffset>
                </wp:positionH>
                <wp:positionV relativeFrom="paragraph">
                  <wp:posOffset>447675</wp:posOffset>
                </wp:positionV>
                <wp:extent cx="6962775" cy="581025"/>
                <wp:effectExtent l="0" t="0" r="952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60CF8" w14:textId="2AD64A12" w:rsidR="008D0391" w:rsidRPr="00EB2E6D" w:rsidRDefault="008D0391" w:rsidP="00050DA8">
                            <w:pPr>
                              <w:pStyle w:val="KIIDtext1"/>
                              <w:spacing w:line="200" w:lineRule="exact"/>
                              <w:rPr>
                                <w:rFonts w:ascii="ArialMT" w:eastAsiaTheme="minorHAnsi" w:hAnsi="ArialMT" w:cs="ArialMT"/>
                                <w:sz w:val="14"/>
                                <w:szCs w:val="14"/>
                                <w:lang w:val="it-IT"/>
                              </w:rPr>
                            </w:pPr>
                            <w:bookmarkStart w:id="3" w:name="_Hlk106031432"/>
                            <w:bookmarkStart w:id="4" w:name="_Hlk106031433"/>
                            <w:bookmarkStart w:id="5" w:name="_Hlk106031434"/>
                            <w:bookmarkStart w:id="6" w:name="_Hlk106031435"/>
                            <w:r w:rsidRPr="00571D88">
                              <w:rPr>
                                <w:rFonts w:ascii="ArialMT" w:eastAsiaTheme="minorHAnsi" w:hAnsi="ArialMT" w:cs="ArialMT"/>
                                <w:sz w:val="14"/>
                                <w:szCs w:val="14"/>
                                <w:lang w:val="it-IT"/>
                              </w:rPr>
                              <w:t>I risultati percentuali ottenuti nel passato mostrati nei grafici sopra includono tutti gli oneri operative e di gestione relative alle azioni Class A1 del Fondo. I risultati ottenuti nel passato non costituiscono necessariamente un’indicazione dei risultati futuri, in quanto i prezzi possono fluttuare e l’investitore potrebbe non recuperare l’investimento originale. Poiché questo fondo è un’entità ricevente di nuova costituzione derivante da una fusione di un precedente fondo UCITS, i risultati ottenuti nel passato riflettono le prestazioni del Salar Fund PLC.</w:t>
                            </w:r>
                            <w:bookmarkEnd w:id="3"/>
                            <w:bookmarkEnd w:id="4"/>
                            <w:bookmarkEnd w:id="5"/>
                            <w:bookmarkEnd w:id="6"/>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E6D33" id="_x0000_s1042" type="#_x0000_t202" style="position:absolute;margin-left:-43.5pt;margin-top:35.25pt;width:548.25pt;height:45.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dFfAIAAAg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" stroked="f">
                <v:textbox inset="0,0,0,0">
                  <w:txbxContent>
                    <w:p w14:paraId="18760CF8" w14:textId="2AD64A12" w:rsidR="008D0391" w:rsidRPr="00EB2E6D" w:rsidRDefault="008D0391" w:rsidP="00050DA8">
                      <w:pPr>
                        <w:pStyle w:val="KIIDtext1"/>
                        <w:spacing w:line="200" w:lineRule="exact"/>
                        <w:rPr>
                          <w:rFonts w:ascii="ArialMT" w:eastAsiaTheme="minorHAnsi" w:hAnsi="ArialMT" w:cs="ArialMT"/>
                          <w:sz w:val="14"/>
                          <w:szCs w:val="14"/>
                          <w:lang w:val="it-IT"/>
                        </w:rPr>
                      </w:pPr>
                      <w:bookmarkStart w:id="7" w:name="_Hlk106031432"/>
                      <w:bookmarkStart w:id="8" w:name="_Hlk106031433"/>
                      <w:bookmarkStart w:id="9" w:name="_Hlk106031434"/>
                      <w:bookmarkStart w:id="10" w:name="_Hlk106031435"/>
                      <w:r w:rsidRPr="00571D88">
                        <w:rPr>
                          <w:rFonts w:ascii="ArialMT" w:eastAsiaTheme="minorHAnsi" w:hAnsi="ArialMT" w:cs="ArialMT"/>
                          <w:sz w:val="14"/>
                          <w:szCs w:val="14"/>
                          <w:lang w:val="it-IT"/>
                        </w:rPr>
                        <w:t xml:space="preserve">I risultati percentuali ottenuti nel passato mostrati nei grafici sopra includono tutti gli oneri operative e di gestione relative alle azioni Class A1 del Fondo. I risultati ottenuti nel passato non costituiscono necessariamente un’indicazione dei risultati futuri, in quanto i prezzi possono fluttuare e l’investitore potrebbe non recuperare l’investimento originale. Poiché questo fondo è un’entità ricevente di nuova costituzione derivante da una fusione di un precedente fondo UCITS, i risultati ottenuti nel passato riflettono le </w:t>
                      </w:r>
                      <w:r w:rsidRPr="00571D88">
                        <w:rPr>
                          <w:rFonts w:ascii="ArialMT" w:eastAsiaTheme="minorHAnsi" w:hAnsi="ArialMT" w:cs="ArialMT"/>
                          <w:sz w:val="14"/>
                          <w:szCs w:val="14"/>
                          <w:lang w:val="it-IT"/>
                        </w:rPr>
                        <w:t>prestazioni del Salar Fund PLC.</w:t>
                      </w:r>
                      <w:bookmarkEnd w:id="7"/>
                      <w:bookmarkEnd w:id="8"/>
                      <w:bookmarkEnd w:id="9"/>
                      <w:bookmarkEnd w:id="10"/>
                    </w:p>
                  </w:txbxContent>
                </v:textbox>
              </v:shape>
            </w:pict>
          </mc:Fallback>
        </mc:AlternateContent>
      </w:r>
      <w:r w:rsidR="00514603">
        <w:rPr>
          <w:noProof/>
          <w:lang w:val="de-DE" w:eastAsia="ja-JP"/>
        </w:rPr>
        <mc:AlternateContent>
          <mc:Choice Requires="wps">
            <w:drawing>
              <wp:anchor distT="0" distB="0" distL="114300" distR="114300" simplePos="0" relativeHeight="251695104" behindDoc="0" locked="0" layoutInCell="1" allowOverlap="1" wp14:anchorId="4246B9A2" wp14:editId="435BA05E">
                <wp:simplePos x="0" y="0"/>
                <wp:positionH relativeFrom="column">
                  <wp:posOffset>-621030</wp:posOffset>
                </wp:positionH>
                <wp:positionV relativeFrom="paragraph">
                  <wp:posOffset>3813175</wp:posOffset>
                </wp:positionV>
                <wp:extent cx="6927850" cy="15906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1590675"/>
                        </a:xfrm>
                        <a:prstGeom prst="rect">
                          <a:avLst/>
                        </a:prstGeom>
                        <a:noFill/>
                        <a:ln>
                          <a:noFill/>
                        </a:ln>
                        <a:extLst>
                          <a:ext uri="{909E8E84-426E-40DD-AFC4-6F175D3DCCD1}">
                            <a14:hiddenFill xmlns:a14="http://schemas.microsoft.com/office/drawing/2010/main">
                              <a:solidFill>
                                <a:srgbClr val="CCE1DA"/>
                              </a:solidFill>
                            </a14:hiddenFill>
                          </a:ext>
                          <a:ext uri="{91240B29-F687-4F45-9708-019B960494DF}">
                            <a14:hiddenLine xmlns:a14="http://schemas.microsoft.com/office/drawing/2010/main" w="9525">
                              <a:solidFill>
                                <a:srgbClr val="006747"/>
                              </a:solidFill>
                              <a:miter lim="800000"/>
                              <a:headEnd/>
                              <a:tailEnd/>
                            </a14:hiddenLine>
                          </a:ext>
                        </a:extLst>
                      </wps:spPr>
                      <wps:txbx>
                        <w:txbxContent>
                          <w:p w14:paraId="41D22610" w14:textId="319E26FD" w:rsidR="008D0391" w:rsidRPr="007213C9" w:rsidRDefault="008D0391" w:rsidP="00883D68">
                            <w:pPr>
                              <w:spacing w:line="200" w:lineRule="exact"/>
                              <w:jc w:val="left"/>
                              <w:rPr>
                                <w:rFonts w:cs="Arial"/>
                                <w:color w:val="A6A6A6"/>
                                <w:sz w:val="14"/>
                                <w:szCs w:val="14"/>
                                <w:lang w:val="it-IT"/>
                              </w:rPr>
                            </w:pPr>
                            <w:r w:rsidRPr="00571D88">
                              <w:rPr>
                                <w:rFonts w:cs="Arial"/>
                                <w:bCs/>
                                <w:color w:val="A6A6A6"/>
                                <w:sz w:val="14"/>
                                <w:szCs w:val="14"/>
                                <w:lang w:val="it-IT"/>
                              </w:rPr>
                              <w:t>Informazioni richieste, per quanto applicabile, per la Distribuzione di Schemi Collettivi di Investimento all’Estero a Investitori Qualificati in Svizzera. Il rappresentante in Svizzera è Acolin Fund Services AG, Leutschenbachstrasse 50, CH-8050 Zurigo, Svizzera. La distribuzione di azioni del Fondo CQS di rilievo in Svizzera avrà luogo e sarà indirizzata esclusivamente a investitori qualificati (gli “Investitori Qualificati”), come definito dalla Legge svizzera sugli Schemi Collettivi di Investimento del 23 giugno 2006, modificata (“CISA”) e l’ordinanza di attuazione (le “Regole svizzere sulla Distribuzione”). Di conseguenza, il Fondo CQS di rilievo non è e non sarà registrato presso l’Autorità svizzera di Supervisione del Mercato Finanziario ("FINMA"). L’ente pagatore in Svizzera è Aquila &amp; Co. AG, Bahnhofstrasse 28a, CH-8001, Zurigo, Svizzera. Il Documento di Offerta di rilievo e tutti gli altri documenti eventualmente utilizzati a scopi di marketing, inclusi il rapporto annuale e semestrale, possono essere richiesti gratuitamente presso il rappresentante in Svizzera. La sede di attuazione e giurisdizione è la sede legale del rappresentante in Svizzera per le azioni distribuite in Svizzera e dalla Svizzera. CQS (UK) LLP (in quanto distributore in Svizzera) e i suoi agenti non versano alcuna retrocessione a terze parti in relazione alla distribuzione delle azioni del Fondo CQS di rilievo in Svizzera o dalla Svizzera. CQS (UK) LLP (in quanto distributore in Svizzera) e I suoi agenti non pagano alcun rimborso mirato a ridurre le commissioni e le spese versate dal Fondo CQS di rilievo e sostenute dagli investitori. La Società è autorizzata in Irlanda e regolamentata dalla Banca Centrale dell’Irlanda</w:t>
                            </w:r>
                            <w:r w:rsidRPr="00571D88">
                              <w:rPr>
                                <w:rFonts w:cs="Arial"/>
                                <w:color w:val="A6A6A6"/>
                                <w:sz w:val="14"/>
                                <w:szCs w:val="14"/>
                                <w:lang w:val="it-IT"/>
                              </w:rPr>
                              <w:t xml:space="preserve">. Le informazioni chiave per gli investitori qui riportate sono aggiornate </w:t>
                            </w:r>
                            <w:r w:rsidRPr="00606CC7">
                              <w:rPr>
                                <w:rFonts w:cs="Arial"/>
                                <w:color w:val="A6A6A6"/>
                                <w:sz w:val="14"/>
                                <w:szCs w:val="14"/>
                                <w:lang w:val="it-IT"/>
                              </w:rPr>
                              <w:t>all’8 agosto 2022</w:t>
                            </w:r>
                            <w:r w:rsidR="00606CC7" w:rsidRPr="00606CC7">
                              <w:rPr>
                                <w:rFonts w:cs="Arial"/>
                                <w:color w:val="A6A6A6"/>
                                <w:sz w:val="14"/>
                                <w:szCs w:val="14"/>
                                <w:lang w:val="it-IT"/>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6B9A2" id="Text Box 15" o:spid="_x0000_s1043" type="#_x0000_t202" style="position:absolute;margin-left:-48.9pt;margin-top:300.25pt;width:545.5pt;height:12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" filled="f" fillcolor="#cce1da" stroked="f" strokecolor="#006747">
                <v:textbox>
                  <w:txbxContent>
                    <w:p w14:paraId="41D22610" w14:textId="319E26FD" w:rsidR="008D0391" w:rsidRPr="007213C9" w:rsidRDefault="008D0391" w:rsidP="00883D68">
                      <w:pPr>
                        <w:spacing w:line="200" w:lineRule="exact"/>
                        <w:jc w:val="left"/>
                        <w:rPr>
                          <w:rFonts w:cs="Arial"/>
                          <w:color w:val="A6A6A6"/>
                          <w:sz w:val="14"/>
                          <w:szCs w:val="14"/>
                          <w:lang w:val="it-IT"/>
                        </w:rPr>
                      </w:pPr>
                      <w:r w:rsidRPr="00571D88">
                        <w:rPr>
                          <w:rFonts w:cs="Arial"/>
                          <w:bCs/>
                          <w:color w:val="A6A6A6"/>
                          <w:sz w:val="14"/>
                          <w:szCs w:val="14"/>
                          <w:lang w:val="it-IT"/>
                        </w:rPr>
                        <w:t xml:space="preserve">Informazioni richieste, per quanto applicabile, per la Distribuzione di Schemi Collettivi di Investimento all’Estero a Investitori Qualificati in Svizzera. Il rappresentante in Svizzera è Acolin Fund Services AG, Leutschenbachstrasse 50, CH-8050 Zurigo, Svizzera. La distribuzione di azioni del Fondo CQS di rilievo in Svizzera avrà luogo e sarà indirizzata esclusivamente a investitori qualificati (gli “Investitori Qualificati”), come definito dalla Legge svizzera sugli Schemi Collettivi di Investimento del 23 giugno 2006, modificata (“CISA”) e l’ordinanza di attuazione (le “Regole svizzere sulla Distribuzione”). Di conseguenza, il Fondo CQS di rilievo non è e non sarà registrato presso l’Autorità svizzera di Supervisione del Mercato Finanziario ("FINMA"). L’ente pagatore in Svizzera è Aquila &amp; Co. AG, Bahnhofstrasse 28a, CH-8001, Zurigo, Svizzera. Il Documento di Offerta di rilievo e tutti gli altri documenti eventualmente utilizzati a scopi di marketing, inclusi il rapporto annuale e semestrale, possono essere richiesti gratuitamente presso il rappresentante in Svizzera. La sede di attuazione e giurisdizione è la sede legale del rappresentante in Svizzera per le azioni distribuite in Svizzera e dalla Svizzera. CQS (UK) LLP (in quanto distributore in Svizzera) e i suoi agenti non versano alcuna retrocessione a terze parti in relazione alla distribuzione delle azioni del Fondo CQS di rilievo in Svizzera o dalla Svizzera. CQS (UK) LLP (in quanto distributore in Svizzera) e I suoi agenti non pagano alcun rimborso mirato a ridurre le commissioni e le spese versate dal Fondo CQS di rilievo e sostenute dagli investitori. La Società </w:t>
                      </w:r>
                      <w:bookmarkStart w:id="7" w:name="_GoBack"/>
                      <w:bookmarkEnd w:id="7"/>
                      <w:r w:rsidRPr="00571D88">
                        <w:rPr>
                          <w:rFonts w:cs="Arial"/>
                          <w:bCs/>
                          <w:color w:val="A6A6A6"/>
                          <w:sz w:val="14"/>
                          <w:szCs w:val="14"/>
                          <w:lang w:val="it-IT"/>
                        </w:rPr>
                        <w:t>è autorizzata in Irlanda e regolamentata dalla Banca Centrale dell’Irlanda</w:t>
                      </w:r>
                      <w:r w:rsidRPr="00571D88">
                        <w:rPr>
                          <w:rFonts w:cs="Arial"/>
                          <w:color w:val="A6A6A6"/>
                          <w:sz w:val="14"/>
                          <w:szCs w:val="14"/>
                          <w:lang w:val="it-IT"/>
                        </w:rPr>
                        <w:t xml:space="preserve">. Le informazioni chiave per gli investitori qui riportate sono </w:t>
                      </w:r>
                      <w:r w:rsidRPr="00571D88">
                        <w:rPr>
                          <w:rFonts w:cs="Arial"/>
                          <w:color w:val="A6A6A6"/>
                          <w:sz w:val="14"/>
                          <w:szCs w:val="14"/>
                          <w:lang w:val="it-IT"/>
                        </w:rPr>
                        <w:t xml:space="preserve">aggiornate </w:t>
                      </w:r>
                      <w:r w:rsidRPr="00606CC7">
                        <w:rPr>
                          <w:rFonts w:cs="Arial"/>
                          <w:color w:val="A6A6A6"/>
                          <w:sz w:val="14"/>
                          <w:szCs w:val="14"/>
                          <w:lang w:val="it-IT"/>
                        </w:rPr>
                        <w:t>all’8 agosto 2022</w:t>
                      </w:r>
                      <w:r w:rsidR="00606CC7" w:rsidRPr="00606CC7">
                        <w:rPr>
                          <w:rFonts w:cs="Arial"/>
                          <w:color w:val="A6A6A6"/>
                          <w:sz w:val="14"/>
                          <w:szCs w:val="14"/>
                          <w:lang w:val="it-IT"/>
                        </w:rPr>
                        <w:t>.</w:t>
                      </w:r>
                    </w:p>
                  </w:txbxContent>
                </v:textbox>
                <w10:wrap type="square"/>
              </v:shape>
            </w:pict>
          </mc:Fallback>
        </mc:AlternateContent>
      </w:r>
      <w:r w:rsidR="00571D88">
        <w:rPr>
          <w:noProof/>
          <w:color w:val="000000"/>
          <w:lang w:val="de-DE" w:eastAsia="ja-JP"/>
        </w:rPr>
        <mc:AlternateContent>
          <mc:Choice Requires="wps">
            <w:drawing>
              <wp:anchor distT="0" distB="0" distL="114300" distR="114300" simplePos="0" relativeHeight="251686912" behindDoc="0" locked="0" layoutInCell="1" allowOverlap="1" wp14:anchorId="1134C902" wp14:editId="2CB6B0CA">
                <wp:simplePos x="0" y="0"/>
                <wp:positionH relativeFrom="margin">
                  <wp:posOffset>-546100</wp:posOffset>
                </wp:positionH>
                <wp:positionV relativeFrom="paragraph">
                  <wp:posOffset>1068705</wp:posOffset>
                </wp:positionV>
                <wp:extent cx="6840220" cy="8255"/>
                <wp:effectExtent l="0" t="0" r="36830" b="29845"/>
                <wp:wrapNone/>
                <wp:docPr id="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8255"/>
                        </a:xfrm>
                        <a:prstGeom prst="straightConnector1">
                          <a:avLst/>
                        </a:prstGeom>
                        <a:noFill/>
                        <a:ln w="9525">
                          <a:solidFill>
                            <a:srgbClr val="0067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C7992" id="AutoShape 134" o:spid="_x0000_s1026" type="#_x0000_t32" style="position:absolute;margin-left:-43pt;margin-top:84.15pt;width:538.6pt;height:.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" strokecolor="#006747">
                <w10:wrap anchorx="margin"/>
              </v:shape>
            </w:pict>
          </mc:Fallback>
        </mc:AlternateContent>
      </w:r>
      <w:r w:rsidR="00571D88">
        <w:rPr>
          <w:noProof/>
          <w:lang w:val="de-DE" w:eastAsia="ja-JP"/>
        </w:rPr>
        <mc:AlternateContent>
          <mc:Choice Requires="wps">
            <w:drawing>
              <wp:anchor distT="0" distB="0" distL="114300" distR="114300" simplePos="0" relativeHeight="251688960" behindDoc="0" locked="0" layoutInCell="1" allowOverlap="1" wp14:anchorId="05C78577" wp14:editId="329A04C7">
                <wp:simplePos x="0" y="0"/>
                <wp:positionH relativeFrom="column">
                  <wp:posOffset>-420370</wp:posOffset>
                </wp:positionH>
                <wp:positionV relativeFrom="paragraph">
                  <wp:posOffset>1122045</wp:posOffset>
                </wp:positionV>
                <wp:extent cx="3096260" cy="224155"/>
                <wp:effectExtent l="0" t="0" r="889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005F" w14:textId="77777777" w:rsidR="008D0391" w:rsidRPr="00691227" w:rsidRDefault="008D0391" w:rsidP="005E5DC1">
                            <w:pPr>
                              <w:shd w:val="clear" w:color="auto" w:fill="FFFFFF"/>
                              <w:tabs>
                                <w:tab w:val="left" w:pos="163"/>
                              </w:tabs>
                              <w:autoSpaceDE w:val="0"/>
                              <w:autoSpaceDN w:val="0"/>
                              <w:adjustRightInd w:val="0"/>
                              <w:spacing w:line="240" w:lineRule="auto"/>
                              <w:rPr>
                                <w:rFonts w:cs="Arial"/>
                                <w:color w:val="5F5F5F"/>
                                <w:sz w:val="18"/>
                                <w:szCs w:val="18"/>
                              </w:rPr>
                            </w:pPr>
                            <w:r>
                              <w:rPr>
                                <w:rFonts w:eastAsia="Calibri" w:cs="Arial"/>
                                <w:b/>
                                <w:bCs/>
                                <w:caps/>
                                <w:color w:val="006747"/>
                                <w:sz w:val="21"/>
                                <w:szCs w:val="22"/>
                                <w:lang w:val="it-IT"/>
                              </w:rPr>
                              <w:t>Informazioni pratiche</w:t>
                            </w:r>
                          </w:p>
                          <w:p w14:paraId="7A7D7D0E" w14:textId="306D818E" w:rsidR="008D0391" w:rsidRPr="006F31C1" w:rsidRDefault="008D0391" w:rsidP="00CB0F6B">
                            <w:pPr>
                              <w:shd w:val="clear" w:color="auto" w:fill="FFFFFF"/>
                              <w:tabs>
                                <w:tab w:val="left" w:pos="163"/>
                              </w:tabs>
                              <w:autoSpaceDE w:val="0"/>
                              <w:autoSpaceDN w:val="0"/>
                              <w:adjustRightInd w:val="0"/>
                              <w:spacing w:line="240" w:lineRule="auto"/>
                              <w:rPr>
                                <w:rFonts w:cs="Arial"/>
                                <w:color w:val="5F5F5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78577" id="_x0000_s1044" type="#_x0000_t202" style="position:absolute;margin-left:-33.1pt;margin-top:88.35pt;width:243.8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g5hQIAABc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" stroked="f">
                <v:textbox>
                  <w:txbxContent>
                    <w:p w14:paraId="7410005F" w14:textId="77777777" w:rsidR="008D0391" w:rsidRPr="00691227" w:rsidRDefault="008D0391" w:rsidP="005E5DC1">
                      <w:pPr>
                        <w:shd w:val="clear" w:color="auto" w:fill="FFFFFF"/>
                        <w:tabs>
                          <w:tab w:val="left" w:pos="163"/>
                        </w:tabs>
                        <w:autoSpaceDE w:val="0"/>
                        <w:autoSpaceDN w:val="0"/>
                        <w:adjustRightInd w:val="0"/>
                        <w:spacing w:line="240" w:lineRule="auto"/>
                        <w:rPr>
                          <w:rFonts w:cs="Arial"/>
                          <w:color w:val="5F5F5F"/>
                          <w:sz w:val="18"/>
                          <w:szCs w:val="18"/>
                        </w:rPr>
                      </w:pPr>
                      <w:r>
                        <w:rPr>
                          <w:rFonts w:eastAsia="Calibri" w:cs="Arial"/>
                          <w:b/>
                          <w:bCs/>
                          <w:caps/>
                          <w:color w:val="006747"/>
                          <w:sz w:val="21"/>
                          <w:szCs w:val="22"/>
                          <w:lang w:val="it-IT"/>
                        </w:rPr>
                        <w:t>Informazioni pratiche</w:t>
                      </w:r>
                    </w:p>
                    <w:p w14:paraId="7A7D7D0E" w14:textId="306D818E" w:rsidR="008D0391" w:rsidRPr="006F31C1" w:rsidRDefault="008D0391" w:rsidP="00CB0F6B">
                      <w:pPr>
                        <w:shd w:val="clear" w:color="auto" w:fill="FFFFFF"/>
                        <w:tabs>
                          <w:tab w:val="left" w:pos="163"/>
                        </w:tabs>
                        <w:autoSpaceDE w:val="0"/>
                        <w:autoSpaceDN w:val="0"/>
                        <w:adjustRightInd w:val="0"/>
                        <w:spacing w:line="240" w:lineRule="auto"/>
                        <w:rPr>
                          <w:rFonts w:cs="Arial"/>
                          <w:color w:val="5F5F5F"/>
                          <w:sz w:val="18"/>
                          <w:szCs w:val="18"/>
                        </w:rPr>
                      </w:pPr>
                    </w:p>
                  </w:txbxContent>
                </v:textbox>
              </v:shape>
            </w:pict>
          </mc:Fallback>
        </mc:AlternateContent>
      </w:r>
      <w:r w:rsidR="00571D88">
        <w:rPr>
          <w:noProof/>
          <w:lang w:val="de-DE" w:eastAsia="ja-JP"/>
        </w:rPr>
        <w:drawing>
          <wp:anchor distT="0" distB="0" distL="114300" distR="114300" simplePos="0" relativeHeight="251705344" behindDoc="0" locked="0" layoutInCell="1" allowOverlap="1" wp14:anchorId="4D17BF69" wp14:editId="7188599D">
            <wp:simplePos x="0" y="0"/>
            <wp:positionH relativeFrom="column">
              <wp:posOffset>4229100</wp:posOffset>
            </wp:positionH>
            <wp:positionV relativeFrom="paragraph">
              <wp:posOffset>5276850</wp:posOffset>
            </wp:positionV>
            <wp:extent cx="1382395" cy="64960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395" cy="649605"/>
                    </a:xfrm>
                    <a:prstGeom prst="rect">
                      <a:avLst/>
                    </a:prstGeom>
                  </pic:spPr>
                </pic:pic>
              </a:graphicData>
            </a:graphic>
            <wp14:sizeRelH relativeFrom="page">
              <wp14:pctWidth>0</wp14:pctWidth>
            </wp14:sizeRelH>
            <wp14:sizeRelV relativeFrom="page">
              <wp14:pctHeight>0</wp14:pctHeight>
            </wp14:sizeRelV>
          </wp:anchor>
        </w:drawing>
      </w:r>
    </w:p>
    <w:sectPr w:rsidR="005B6E23" w:rsidSect="00571D88">
      <w:footerReference w:type="default" r:id="rId12"/>
      <w:pgSz w:w="11906" w:h="16838"/>
      <w:pgMar w:top="1440" w:right="1440" w:bottom="426" w:left="1440"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B0314" w14:textId="77777777" w:rsidR="008D0391" w:rsidRDefault="008D0391" w:rsidP="005B6E23">
      <w:pPr>
        <w:spacing w:line="240" w:lineRule="auto"/>
      </w:pPr>
      <w:r>
        <w:separator/>
      </w:r>
    </w:p>
  </w:endnote>
  <w:endnote w:type="continuationSeparator" w:id="0">
    <w:p w14:paraId="2BC2FADC" w14:textId="77777777" w:rsidR="008D0391" w:rsidRDefault="008D0391" w:rsidP="005B6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34D24" w14:textId="46CA6B71" w:rsidR="008D0391" w:rsidRDefault="008D039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00974">
      <w:rPr>
        <w:caps/>
        <w:noProof/>
        <w:color w:val="5B9BD5" w:themeColor="accent1"/>
      </w:rPr>
      <w:t>1</w:t>
    </w:r>
    <w:r>
      <w:rPr>
        <w:caps/>
        <w:noProof/>
        <w:color w:val="5B9BD5" w:themeColor="accent1"/>
      </w:rPr>
      <w:fldChar w:fldCharType="end"/>
    </w:r>
  </w:p>
  <w:p w14:paraId="549331D9" w14:textId="77777777" w:rsidR="008D0391" w:rsidRDefault="008D0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14BC6" w14:textId="77777777" w:rsidR="008D0391" w:rsidRDefault="008D0391" w:rsidP="005B6E23">
      <w:pPr>
        <w:spacing w:line="240" w:lineRule="auto"/>
      </w:pPr>
      <w:r>
        <w:separator/>
      </w:r>
    </w:p>
  </w:footnote>
  <w:footnote w:type="continuationSeparator" w:id="0">
    <w:p w14:paraId="078407AD" w14:textId="77777777" w:rsidR="008D0391" w:rsidRDefault="008D0391" w:rsidP="005B6E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D347A"/>
    <w:multiLevelType w:val="hybridMultilevel"/>
    <w:tmpl w:val="05447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912596"/>
    <w:multiLevelType w:val="hybridMultilevel"/>
    <w:tmpl w:val="5E066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F3312B"/>
    <w:multiLevelType w:val="hybridMultilevel"/>
    <w:tmpl w:val="E2B260F0"/>
    <w:lvl w:ilvl="0" w:tplc="E3BEB2D8">
      <w:start w:val="1"/>
      <w:numFmt w:val="bullet"/>
      <w:lvlText w:val=""/>
      <w:lvlJc w:val="left"/>
      <w:pPr>
        <w:ind w:left="720" w:hanging="360"/>
      </w:pPr>
      <w:rPr>
        <w:rFonts w:ascii="Wingdings" w:hAnsi="Wingdings" w:hint="default"/>
        <w:color w:val="FFFFFF"/>
      </w:rPr>
    </w:lvl>
    <w:lvl w:ilvl="1" w:tplc="B308A8CC" w:tentative="1">
      <w:start w:val="1"/>
      <w:numFmt w:val="bullet"/>
      <w:lvlText w:val="o"/>
      <w:lvlJc w:val="left"/>
      <w:pPr>
        <w:ind w:left="1440" w:hanging="360"/>
      </w:pPr>
      <w:rPr>
        <w:rFonts w:ascii="Courier New" w:hAnsi="Courier New" w:cs="Courier New" w:hint="default"/>
      </w:rPr>
    </w:lvl>
    <w:lvl w:ilvl="2" w:tplc="3D625D1A" w:tentative="1">
      <w:start w:val="1"/>
      <w:numFmt w:val="bullet"/>
      <w:lvlText w:val=""/>
      <w:lvlJc w:val="left"/>
      <w:pPr>
        <w:ind w:left="2160" w:hanging="360"/>
      </w:pPr>
      <w:rPr>
        <w:rFonts w:ascii="Wingdings" w:hAnsi="Wingdings" w:hint="default"/>
      </w:rPr>
    </w:lvl>
    <w:lvl w:ilvl="3" w:tplc="3462E2EE" w:tentative="1">
      <w:start w:val="1"/>
      <w:numFmt w:val="bullet"/>
      <w:lvlText w:val=""/>
      <w:lvlJc w:val="left"/>
      <w:pPr>
        <w:ind w:left="2880" w:hanging="360"/>
      </w:pPr>
      <w:rPr>
        <w:rFonts w:ascii="Symbol" w:hAnsi="Symbol" w:hint="default"/>
      </w:rPr>
    </w:lvl>
    <w:lvl w:ilvl="4" w:tplc="4EE2BEC0" w:tentative="1">
      <w:start w:val="1"/>
      <w:numFmt w:val="bullet"/>
      <w:lvlText w:val="o"/>
      <w:lvlJc w:val="left"/>
      <w:pPr>
        <w:ind w:left="3600" w:hanging="360"/>
      </w:pPr>
      <w:rPr>
        <w:rFonts w:ascii="Courier New" w:hAnsi="Courier New" w:cs="Courier New" w:hint="default"/>
      </w:rPr>
    </w:lvl>
    <w:lvl w:ilvl="5" w:tplc="3EBE7054" w:tentative="1">
      <w:start w:val="1"/>
      <w:numFmt w:val="bullet"/>
      <w:lvlText w:val=""/>
      <w:lvlJc w:val="left"/>
      <w:pPr>
        <w:ind w:left="4320" w:hanging="360"/>
      </w:pPr>
      <w:rPr>
        <w:rFonts w:ascii="Wingdings" w:hAnsi="Wingdings" w:hint="default"/>
      </w:rPr>
    </w:lvl>
    <w:lvl w:ilvl="6" w:tplc="B60A0BA0" w:tentative="1">
      <w:start w:val="1"/>
      <w:numFmt w:val="bullet"/>
      <w:lvlText w:val=""/>
      <w:lvlJc w:val="left"/>
      <w:pPr>
        <w:ind w:left="5040" w:hanging="360"/>
      </w:pPr>
      <w:rPr>
        <w:rFonts w:ascii="Symbol" w:hAnsi="Symbol" w:hint="default"/>
      </w:rPr>
    </w:lvl>
    <w:lvl w:ilvl="7" w:tplc="756AE758" w:tentative="1">
      <w:start w:val="1"/>
      <w:numFmt w:val="bullet"/>
      <w:lvlText w:val="o"/>
      <w:lvlJc w:val="left"/>
      <w:pPr>
        <w:ind w:left="5760" w:hanging="360"/>
      </w:pPr>
      <w:rPr>
        <w:rFonts w:ascii="Courier New" w:hAnsi="Courier New" w:cs="Courier New" w:hint="default"/>
      </w:rPr>
    </w:lvl>
    <w:lvl w:ilvl="8" w:tplc="E29C0BB8" w:tentative="1">
      <w:start w:val="1"/>
      <w:numFmt w:val="bullet"/>
      <w:lvlText w:val=""/>
      <w:lvlJc w:val="left"/>
      <w:pPr>
        <w:ind w:left="6480" w:hanging="360"/>
      </w:pPr>
      <w:rPr>
        <w:rFonts w:ascii="Wingdings" w:hAnsi="Wingdings" w:hint="default"/>
      </w:rPr>
    </w:lvl>
  </w:abstractNum>
  <w:abstractNum w:abstractNumId="3">
    <w:nsid w:val="24FC01D9"/>
    <w:multiLevelType w:val="hybridMultilevel"/>
    <w:tmpl w:val="236A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C821C2"/>
    <w:multiLevelType w:val="hybridMultilevel"/>
    <w:tmpl w:val="B4440BAA"/>
    <w:lvl w:ilvl="0" w:tplc="08090001">
      <w:start w:val="1"/>
      <w:numFmt w:val="bullet"/>
      <w:lvlText w:val=""/>
      <w:lvlJc w:val="left"/>
      <w:pPr>
        <w:ind w:left="720" w:hanging="360"/>
      </w:pPr>
      <w:rPr>
        <w:rFonts w:ascii="Symbol" w:hAnsi="Symbol" w:hint="default"/>
      </w:rPr>
    </w:lvl>
    <w:lvl w:ilvl="1" w:tplc="BC4436FE">
      <w:numFmt w:val="bullet"/>
      <w:lvlText w:val="•"/>
      <w:lvlJc w:val="left"/>
      <w:pPr>
        <w:ind w:left="1840" w:hanging="7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A65C7C"/>
    <w:multiLevelType w:val="hybridMultilevel"/>
    <w:tmpl w:val="BBDE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DC39A5"/>
    <w:multiLevelType w:val="hybridMultilevel"/>
    <w:tmpl w:val="9A4CC5C4"/>
    <w:lvl w:ilvl="0" w:tplc="4FAAC002">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DB1125"/>
    <w:multiLevelType w:val="hybridMultilevel"/>
    <w:tmpl w:val="C7A826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D8C427B"/>
    <w:multiLevelType w:val="hybridMultilevel"/>
    <w:tmpl w:val="5AE809EA"/>
    <w:lvl w:ilvl="0" w:tplc="79CCE280">
      <w:start w:val="1"/>
      <w:numFmt w:val="bullet"/>
      <w:pStyle w:val="KIIDbullet1"/>
      <w:lvlText w:val=""/>
      <w:lvlJc w:val="left"/>
      <w:pPr>
        <w:ind w:left="720" w:hanging="360"/>
      </w:pPr>
      <w:rPr>
        <w:rFonts w:ascii="Wingdings" w:hAnsi="Wingdings" w:hint="default"/>
        <w:color w:val="8C89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8"/>
  </w:num>
  <w:num w:numId="5">
    <w:abstractNumId w:val="0"/>
  </w:num>
  <w:num w:numId="6">
    <w:abstractNumId w:val="4"/>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10"/>
    <w:rsid w:val="0000135C"/>
    <w:rsid w:val="000303E2"/>
    <w:rsid w:val="00030BF2"/>
    <w:rsid w:val="000503E0"/>
    <w:rsid w:val="00050DA8"/>
    <w:rsid w:val="000769B6"/>
    <w:rsid w:val="000934DB"/>
    <w:rsid w:val="001068FF"/>
    <w:rsid w:val="00120DBA"/>
    <w:rsid w:val="001266C0"/>
    <w:rsid w:val="00130536"/>
    <w:rsid w:val="00132C0D"/>
    <w:rsid w:val="00150151"/>
    <w:rsid w:val="001576C6"/>
    <w:rsid w:val="00162886"/>
    <w:rsid w:val="00166B27"/>
    <w:rsid w:val="0017638F"/>
    <w:rsid w:val="00182EA0"/>
    <w:rsid w:val="001B2BEF"/>
    <w:rsid w:val="001B52DF"/>
    <w:rsid w:val="001B5511"/>
    <w:rsid w:val="001C4D58"/>
    <w:rsid w:val="001D71A7"/>
    <w:rsid w:val="001E51B1"/>
    <w:rsid w:val="002006A1"/>
    <w:rsid w:val="00216272"/>
    <w:rsid w:val="00227808"/>
    <w:rsid w:val="00241528"/>
    <w:rsid w:val="00260AA8"/>
    <w:rsid w:val="00271096"/>
    <w:rsid w:val="0027424F"/>
    <w:rsid w:val="00283C51"/>
    <w:rsid w:val="00290696"/>
    <w:rsid w:val="00296F3B"/>
    <w:rsid w:val="002A54CA"/>
    <w:rsid w:val="002B0B2B"/>
    <w:rsid w:val="002B76E9"/>
    <w:rsid w:val="002C3A76"/>
    <w:rsid w:val="002C6136"/>
    <w:rsid w:val="002D1531"/>
    <w:rsid w:val="003076FC"/>
    <w:rsid w:val="00312885"/>
    <w:rsid w:val="00316AA2"/>
    <w:rsid w:val="003206E5"/>
    <w:rsid w:val="00334609"/>
    <w:rsid w:val="0036454A"/>
    <w:rsid w:val="0037570A"/>
    <w:rsid w:val="00385CAE"/>
    <w:rsid w:val="0039384F"/>
    <w:rsid w:val="003B5A50"/>
    <w:rsid w:val="003C7690"/>
    <w:rsid w:val="003E383B"/>
    <w:rsid w:val="003E578D"/>
    <w:rsid w:val="003F4AED"/>
    <w:rsid w:val="00405415"/>
    <w:rsid w:val="00406B3B"/>
    <w:rsid w:val="00411B7D"/>
    <w:rsid w:val="00447C2B"/>
    <w:rsid w:val="00470786"/>
    <w:rsid w:val="00471F92"/>
    <w:rsid w:val="00482326"/>
    <w:rsid w:val="004834D4"/>
    <w:rsid w:val="00491D9D"/>
    <w:rsid w:val="00492098"/>
    <w:rsid w:val="004938B0"/>
    <w:rsid w:val="004A1CA2"/>
    <w:rsid w:val="004D7DB2"/>
    <w:rsid w:val="004F53A0"/>
    <w:rsid w:val="00514603"/>
    <w:rsid w:val="005321A2"/>
    <w:rsid w:val="00544424"/>
    <w:rsid w:val="00547654"/>
    <w:rsid w:val="00551CA0"/>
    <w:rsid w:val="005542CF"/>
    <w:rsid w:val="00571D88"/>
    <w:rsid w:val="0057606F"/>
    <w:rsid w:val="005B2A95"/>
    <w:rsid w:val="005B2EB4"/>
    <w:rsid w:val="005B6E23"/>
    <w:rsid w:val="005D031A"/>
    <w:rsid w:val="005D7124"/>
    <w:rsid w:val="005D7254"/>
    <w:rsid w:val="005E5DC1"/>
    <w:rsid w:val="005E7E5A"/>
    <w:rsid w:val="005F472A"/>
    <w:rsid w:val="00601A22"/>
    <w:rsid w:val="00603E62"/>
    <w:rsid w:val="00606CC7"/>
    <w:rsid w:val="00640079"/>
    <w:rsid w:val="00646034"/>
    <w:rsid w:val="006474E6"/>
    <w:rsid w:val="00650319"/>
    <w:rsid w:val="00662DA6"/>
    <w:rsid w:val="0067277D"/>
    <w:rsid w:val="00707D3D"/>
    <w:rsid w:val="007213C9"/>
    <w:rsid w:val="007355C1"/>
    <w:rsid w:val="007454E4"/>
    <w:rsid w:val="007761A6"/>
    <w:rsid w:val="00777F73"/>
    <w:rsid w:val="0078100F"/>
    <w:rsid w:val="007831CF"/>
    <w:rsid w:val="0078724B"/>
    <w:rsid w:val="007B4BEC"/>
    <w:rsid w:val="007C2529"/>
    <w:rsid w:val="007C7A66"/>
    <w:rsid w:val="007E0AFC"/>
    <w:rsid w:val="007F4CBB"/>
    <w:rsid w:val="00807759"/>
    <w:rsid w:val="008218A8"/>
    <w:rsid w:val="00824906"/>
    <w:rsid w:val="00860C1C"/>
    <w:rsid w:val="00872332"/>
    <w:rsid w:val="00883D68"/>
    <w:rsid w:val="008843CB"/>
    <w:rsid w:val="008A3787"/>
    <w:rsid w:val="008C2A01"/>
    <w:rsid w:val="008D0391"/>
    <w:rsid w:val="008E7B34"/>
    <w:rsid w:val="009572C4"/>
    <w:rsid w:val="00971630"/>
    <w:rsid w:val="009813A8"/>
    <w:rsid w:val="0098667B"/>
    <w:rsid w:val="00991A1D"/>
    <w:rsid w:val="009B308D"/>
    <w:rsid w:val="009D5C18"/>
    <w:rsid w:val="009E0691"/>
    <w:rsid w:val="00A0105F"/>
    <w:rsid w:val="00A06BCD"/>
    <w:rsid w:val="00A32750"/>
    <w:rsid w:val="00A35678"/>
    <w:rsid w:val="00A545B1"/>
    <w:rsid w:val="00AA1954"/>
    <w:rsid w:val="00AB2C60"/>
    <w:rsid w:val="00AB32D7"/>
    <w:rsid w:val="00AE3529"/>
    <w:rsid w:val="00AE6FDF"/>
    <w:rsid w:val="00B03A64"/>
    <w:rsid w:val="00B14CE9"/>
    <w:rsid w:val="00B41DFE"/>
    <w:rsid w:val="00B74D10"/>
    <w:rsid w:val="00B92CCF"/>
    <w:rsid w:val="00BD0715"/>
    <w:rsid w:val="00BF5FD4"/>
    <w:rsid w:val="00C2285A"/>
    <w:rsid w:val="00C320A0"/>
    <w:rsid w:val="00C335ED"/>
    <w:rsid w:val="00C34FC3"/>
    <w:rsid w:val="00C42981"/>
    <w:rsid w:val="00C75EDF"/>
    <w:rsid w:val="00C92E59"/>
    <w:rsid w:val="00CA5064"/>
    <w:rsid w:val="00CA5621"/>
    <w:rsid w:val="00CB0F6B"/>
    <w:rsid w:val="00CB6720"/>
    <w:rsid w:val="00CD42A5"/>
    <w:rsid w:val="00CD7EA5"/>
    <w:rsid w:val="00D3149A"/>
    <w:rsid w:val="00D7328B"/>
    <w:rsid w:val="00D91E47"/>
    <w:rsid w:val="00D970B3"/>
    <w:rsid w:val="00DA7268"/>
    <w:rsid w:val="00DB7334"/>
    <w:rsid w:val="00DC13F2"/>
    <w:rsid w:val="00DC2CE9"/>
    <w:rsid w:val="00DD263A"/>
    <w:rsid w:val="00DE5EAE"/>
    <w:rsid w:val="00DE693D"/>
    <w:rsid w:val="00DF3E5A"/>
    <w:rsid w:val="00DF6DB3"/>
    <w:rsid w:val="00E00974"/>
    <w:rsid w:val="00E0421D"/>
    <w:rsid w:val="00E46B21"/>
    <w:rsid w:val="00E52B30"/>
    <w:rsid w:val="00E658A2"/>
    <w:rsid w:val="00E7589F"/>
    <w:rsid w:val="00E7786C"/>
    <w:rsid w:val="00E86A6B"/>
    <w:rsid w:val="00E91F43"/>
    <w:rsid w:val="00EB2E6D"/>
    <w:rsid w:val="00EC7D6F"/>
    <w:rsid w:val="00ED0F4D"/>
    <w:rsid w:val="00EE3310"/>
    <w:rsid w:val="00F000DE"/>
    <w:rsid w:val="00F0299D"/>
    <w:rsid w:val="00F15A75"/>
    <w:rsid w:val="00F2441E"/>
    <w:rsid w:val="00F359E1"/>
    <w:rsid w:val="00F62751"/>
    <w:rsid w:val="00F631E3"/>
    <w:rsid w:val="00F803CA"/>
    <w:rsid w:val="00FB0C87"/>
    <w:rsid w:val="00FE2606"/>
    <w:rsid w:val="00FE7266"/>
    <w:rsid w:val="00FE75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B789"/>
  <w15:chartTrackingRefBased/>
  <w15:docId w15:val="{07AE94F1-AB83-4C13-B87F-6F1981BE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D10"/>
    <w:pPr>
      <w:widowControl w:val="0"/>
      <w:spacing w:after="0" w:line="360" w:lineRule="auto"/>
      <w:jc w:val="both"/>
    </w:pPr>
    <w:rPr>
      <w:rFonts w:ascii="Arial" w:eastAsia="Times New Roman" w:hAnsi="Arial" w:cs="Times New Roman"/>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10"/>
    <w:pPr>
      <w:ind w:left="720"/>
      <w:contextualSpacing/>
    </w:pPr>
  </w:style>
  <w:style w:type="paragraph" w:customStyle="1" w:styleId="BoldSubHead">
    <w:name w:val="Bold Sub Head"/>
    <w:basedOn w:val="Normal"/>
    <w:qFormat/>
    <w:rsid w:val="00CD42A5"/>
    <w:pPr>
      <w:widowControl/>
      <w:spacing w:before="420" w:after="120" w:line="200" w:lineRule="exact"/>
      <w:jc w:val="left"/>
    </w:pPr>
    <w:rPr>
      <w:rFonts w:eastAsia="Calibri"/>
      <w:b/>
      <w:bCs/>
      <w:caps/>
      <w:color w:val="006747"/>
      <w:spacing w:val="7"/>
      <w:sz w:val="21"/>
      <w:szCs w:val="22"/>
      <w:lang w:val="en-GB"/>
    </w:rPr>
  </w:style>
  <w:style w:type="paragraph" w:customStyle="1" w:styleId="KIIDtext1">
    <w:name w:val="KIID text 1"/>
    <w:basedOn w:val="Normal"/>
    <w:qFormat/>
    <w:rsid w:val="00CD42A5"/>
    <w:pPr>
      <w:spacing w:after="120" w:line="240" w:lineRule="exact"/>
      <w:jc w:val="left"/>
    </w:pPr>
    <w:rPr>
      <w:color w:val="5F5F5F"/>
      <w:sz w:val="18"/>
      <w:szCs w:val="18"/>
    </w:rPr>
  </w:style>
  <w:style w:type="paragraph" w:customStyle="1" w:styleId="KIIDbullet1">
    <w:name w:val="KIID bullet 1"/>
    <w:basedOn w:val="KIIDtext1"/>
    <w:qFormat/>
    <w:rsid w:val="00CD42A5"/>
    <w:pPr>
      <w:numPr>
        <w:numId w:val="2"/>
      </w:numPr>
    </w:pPr>
    <w:rPr>
      <w:rFonts w:ascii="Gill Sans MT" w:hAnsi="Gill Sans MT"/>
    </w:rPr>
  </w:style>
  <w:style w:type="paragraph" w:styleId="Header">
    <w:name w:val="header"/>
    <w:basedOn w:val="Normal"/>
    <w:link w:val="HeaderChar"/>
    <w:uiPriority w:val="99"/>
    <w:unhideWhenUsed/>
    <w:rsid w:val="005B6E23"/>
    <w:pPr>
      <w:tabs>
        <w:tab w:val="center" w:pos="4513"/>
        <w:tab w:val="right" w:pos="9026"/>
      </w:tabs>
      <w:spacing w:line="240" w:lineRule="auto"/>
    </w:pPr>
  </w:style>
  <w:style w:type="character" w:customStyle="1" w:styleId="HeaderChar">
    <w:name w:val="Header Char"/>
    <w:basedOn w:val="DefaultParagraphFont"/>
    <w:link w:val="Header"/>
    <w:uiPriority w:val="99"/>
    <w:rsid w:val="005B6E23"/>
    <w:rPr>
      <w:rFonts w:ascii="Arial" w:eastAsia="Times New Roman" w:hAnsi="Arial" w:cs="Times New Roman"/>
      <w:sz w:val="20"/>
      <w:szCs w:val="20"/>
      <w:lang w:val="en-IE"/>
    </w:rPr>
  </w:style>
  <w:style w:type="paragraph" w:styleId="Footer">
    <w:name w:val="footer"/>
    <w:basedOn w:val="Normal"/>
    <w:link w:val="FooterChar"/>
    <w:uiPriority w:val="99"/>
    <w:unhideWhenUsed/>
    <w:rsid w:val="005B6E23"/>
    <w:pPr>
      <w:tabs>
        <w:tab w:val="center" w:pos="4513"/>
        <w:tab w:val="right" w:pos="9026"/>
      </w:tabs>
      <w:spacing w:line="240" w:lineRule="auto"/>
    </w:pPr>
  </w:style>
  <w:style w:type="character" w:customStyle="1" w:styleId="FooterChar">
    <w:name w:val="Footer Char"/>
    <w:basedOn w:val="DefaultParagraphFont"/>
    <w:link w:val="Footer"/>
    <w:uiPriority w:val="99"/>
    <w:rsid w:val="005B6E23"/>
    <w:rPr>
      <w:rFonts w:ascii="Arial" w:eastAsia="Times New Roman" w:hAnsi="Arial" w:cs="Times New Roman"/>
      <w:sz w:val="20"/>
      <w:szCs w:val="20"/>
      <w:lang w:val="en-IE"/>
    </w:rPr>
  </w:style>
  <w:style w:type="paragraph" w:styleId="BalloonText">
    <w:name w:val="Balloon Text"/>
    <w:basedOn w:val="Normal"/>
    <w:link w:val="BalloonTextChar"/>
    <w:uiPriority w:val="99"/>
    <w:semiHidden/>
    <w:unhideWhenUsed/>
    <w:rsid w:val="00FE7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66"/>
    <w:rPr>
      <w:rFonts w:ascii="Segoe UI" w:eastAsia="Times New Roman" w:hAnsi="Segoe UI" w:cs="Segoe UI"/>
      <w:sz w:val="18"/>
      <w:szCs w:val="18"/>
      <w:lang w:val="en-IE"/>
    </w:rPr>
  </w:style>
  <w:style w:type="character" w:styleId="Hyperlink">
    <w:name w:val="Hyperlink"/>
    <w:basedOn w:val="DefaultParagraphFont"/>
    <w:uiPriority w:val="99"/>
    <w:unhideWhenUsed/>
    <w:rsid w:val="00471F92"/>
    <w:rPr>
      <w:color w:val="0563C1"/>
      <w:u w:val="single"/>
    </w:rPr>
  </w:style>
  <w:style w:type="table" w:styleId="TableGrid">
    <w:name w:val="Table Grid"/>
    <w:basedOn w:val="TableNormal"/>
    <w:uiPriority w:val="39"/>
    <w:rsid w:val="00166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91F43"/>
    <w:rPr>
      <w:color w:val="605E5C"/>
      <w:shd w:val="clear" w:color="auto" w:fill="E1DFDD"/>
    </w:rPr>
  </w:style>
  <w:style w:type="character" w:styleId="CommentReference">
    <w:name w:val="annotation reference"/>
    <w:basedOn w:val="DefaultParagraphFont"/>
    <w:uiPriority w:val="99"/>
    <w:semiHidden/>
    <w:unhideWhenUsed/>
    <w:rsid w:val="005B2A95"/>
    <w:rPr>
      <w:sz w:val="16"/>
      <w:szCs w:val="16"/>
    </w:rPr>
  </w:style>
  <w:style w:type="paragraph" w:styleId="CommentText">
    <w:name w:val="annotation text"/>
    <w:basedOn w:val="Normal"/>
    <w:link w:val="CommentTextChar"/>
    <w:uiPriority w:val="99"/>
    <w:semiHidden/>
    <w:unhideWhenUsed/>
    <w:rsid w:val="005B2A95"/>
    <w:pPr>
      <w:spacing w:line="240" w:lineRule="auto"/>
    </w:pPr>
  </w:style>
  <w:style w:type="character" w:customStyle="1" w:styleId="CommentTextChar">
    <w:name w:val="Comment Text Char"/>
    <w:basedOn w:val="DefaultParagraphFont"/>
    <w:link w:val="CommentText"/>
    <w:uiPriority w:val="99"/>
    <w:semiHidden/>
    <w:rsid w:val="005B2A95"/>
    <w:rPr>
      <w:rFonts w:ascii="Arial" w:eastAsia="Times New Roman" w:hAnsi="Arial"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5B2A95"/>
    <w:rPr>
      <w:b/>
      <w:bCs/>
    </w:rPr>
  </w:style>
  <w:style w:type="character" w:customStyle="1" w:styleId="CommentSubjectChar">
    <w:name w:val="Comment Subject Char"/>
    <w:basedOn w:val="CommentTextChar"/>
    <w:link w:val="CommentSubject"/>
    <w:uiPriority w:val="99"/>
    <w:semiHidden/>
    <w:rsid w:val="005B2A95"/>
    <w:rPr>
      <w:rFonts w:ascii="Arial" w:eastAsia="Times New Roman" w:hAnsi="Arial" w:cs="Times New Roman"/>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94632">
      <w:bodyDiv w:val="1"/>
      <w:marLeft w:val="0"/>
      <w:marRight w:val="0"/>
      <w:marTop w:val="0"/>
      <w:marBottom w:val="0"/>
      <w:divBdr>
        <w:top w:val="none" w:sz="0" w:space="0" w:color="auto"/>
        <w:left w:val="none" w:sz="0" w:space="0" w:color="auto"/>
        <w:bottom w:val="none" w:sz="0" w:space="0" w:color="auto"/>
        <w:right w:val="none" w:sz="0" w:space="0" w:color="auto"/>
      </w:divBdr>
    </w:div>
    <w:div w:id="20858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E40D9CBB0CD4797B537C933D9AE3F" ma:contentTypeVersion="11" ma:contentTypeDescription="Create a new document." ma:contentTypeScope="" ma:versionID="c01b51b68ad53fa953dc052900c14b25">
  <xsd:schema xmlns:xsd="http://www.w3.org/2001/XMLSchema" xmlns:xs="http://www.w3.org/2001/XMLSchema" xmlns:p="http://schemas.microsoft.com/office/2006/metadata/properties" xmlns:ns3="6387cef6-eeba-41d4-a738-47d0c935cae5" xmlns:ns4="73b8a697-71b7-4e62-afb6-a849b7beb242" targetNamespace="http://schemas.microsoft.com/office/2006/metadata/properties" ma:root="true" ma:fieldsID="4ac04c22f209414c599e4d87a280da7d" ns3:_="" ns4:_="">
    <xsd:import namespace="6387cef6-eeba-41d4-a738-47d0c935cae5"/>
    <xsd:import namespace="73b8a697-71b7-4e62-afb6-a849b7beb2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7cef6-eeba-41d4-a738-47d0c935c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8a697-71b7-4e62-afb6-a849b7beb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D9F08-8F92-407D-8B92-CC8B1FF8B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7cef6-eeba-41d4-a738-47d0c935cae5"/>
    <ds:schemaRef ds:uri="73b8a697-71b7-4e62-afb6-a849b7beb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12811-678C-4D5E-ABA2-5414423A840D}">
  <ds:schemaRefs>
    <ds:schemaRef ds:uri="http://schemas.microsoft.com/sharepoint/v3/contenttype/forms"/>
  </ds:schemaRefs>
</ds:datastoreItem>
</file>

<file path=customXml/itemProps3.xml><?xml version="1.0" encoding="utf-8"?>
<ds:datastoreItem xmlns:ds="http://schemas.openxmlformats.org/officeDocument/2006/customXml" ds:itemID="{A31BCE67-07B9-4569-A7B2-2E1588538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CCD25A8C</Template>
  <TotalTime>0</TotalTime>
  <Pages>2</Pages>
  <Words>6</Words>
  <Characters>41</Characters>
  <Application>Microsoft Office Word</Application>
  <DocSecurity>0</DocSecurity>
  <Lines>1</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 Godfrey</cp:lastModifiedBy>
  <cp:revision>23</cp:revision>
  <cp:lastPrinted>2022-03-14T12:29:00Z</cp:lastPrinted>
  <dcterms:created xsi:type="dcterms:W3CDTF">2022-08-09T17:55:00Z</dcterms:created>
  <dcterms:modified xsi:type="dcterms:W3CDTF">2022-08-10T17:31:00Z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0x01010087BE40D9CBB0CD4797B537C933D9AE3F</vt:lpwstr>
  </property>
</Properties>
</file>