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1E225F7B">
                <wp:simplePos x="0" y="0"/>
                <wp:positionH relativeFrom="page">
                  <wp:posOffset>238125</wp:posOffset>
                </wp:positionH>
                <wp:positionV relativeFrom="paragraph">
                  <wp:posOffset>171450</wp:posOffset>
                </wp:positionV>
                <wp:extent cx="6965950" cy="13620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620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898CA12" w:rsidR="002B0B2B" w:rsidRPr="00742006" w:rsidRDefault="008A3787" w:rsidP="008A3787">
                                  <w:pPr>
                                    <w:spacing w:after="80" w:line="300" w:lineRule="exact"/>
                                    <w:rPr>
                                      <w:rFonts w:cs="Arial"/>
                                      <w:color w:val="FFFFFF"/>
                                      <w:sz w:val="21"/>
                                      <w:szCs w:val="21"/>
                                    </w:rPr>
                                  </w:pPr>
                                  <w:r w:rsidRPr="00742006">
                                    <w:rPr>
                                      <w:color w:val="FFFFFF"/>
                                      <w:sz w:val="21"/>
                                      <w:szCs w:val="21"/>
                                    </w:rPr>
                                    <w:t>Klasse A1 thesaurierend GBP (ISIN: IE00B2PLHD34)</w:t>
                                  </w:r>
                                </w:p>
                              </w:tc>
                              <w:tc>
                                <w:tcPr>
                                  <w:tcW w:w="5452" w:type="dxa"/>
                                </w:tcPr>
                                <w:p w14:paraId="0D06B7D6" w14:textId="2D3D7DB3" w:rsidR="002B0B2B" w:rsidRPr="00742006" w:rsidRDefault="008A3787" w:rsidP="008A3787">
                                  <w:pPr>
                                    <w:spacing w:after="80" w:line="300" w:lineRule="exact"/>
                                    <w:rPr>
                                      <w:rFonts w:cs="Arial"/>
                                      <w:color w:val="FFFFFF"/>
                                      <w:sz w:val="21"/>
                                      <w:szCs w:val="21"/>
                                    </w:rPr>
                                  </w:pPr>
                                  <w:r w:rsidRPr="00742006">
                                    <w:rPr>
                                      <w:color w:val="FFFFFF"/>
                                      <w:sz w:val="21"/>
                                      <w:szCs w:val="21"/>
                                    </w:rPr>
                                    <w:t>Klasse A1 thesaurierend USD (ISIN: IE00B2PLHH71)</w:t>
                                  </w:r>
                                </w:p>
                              </w:tc>
                            </w:tr>
                            <w:tr w:rsidR="008A3787" w14:paraId="250F892C" w14:textId="77777777" w:rsidTr="005D7124">
                              <w:trPr>
                                <w:trHeight w:val="345"/>
                                <w:jc w:val="center"/>
                              </w:trPr>
                              <w:tc>
                                <w:tcPr>
                                  <w:tcW w:w="5383" w:type="dxa"/>
                                </w:tcPr>
                                <w:p w14:paraId="7F65084C" w14:textId="0A05E3F0" w:rsidR="008A3787" w:rsidRPr="005D7124" w:rsidRDefault="008A3787" w:rsidP="008A3787">
                                  <w:pPr>
                                    <w:spacing w:after="80" w:line="300" w:lineRule="exact"/>
                                    <w:jc w:val="left"/>
                                    <w:rPr>
                                      <w:rFonts w:cs="Arial"/>
                                      <w:color w:val="FFFFFF"/>
                                      <w:sz w:val="24"/>
                                      <w:szCs w:val="25"/>
                                    </w:rPr>
                                  </w:pPr>
                                  <w:r w:rsidRPr="00EA4CD3">
                                    <w:rPr>
                                      <w:color w:val="FFFFFF"/>
                                      <w:sz w:val="21"/>
                                      <w:szCs w:val="21"/>
                                    </w:rPr>
                                    <w:t>Klasse A1 thesaurierend EUR (ISIN:</w:t>
                                  </w:r>
                                  <w:r>
                                    <w:rPr>
                                      <w:color w:val="FFFFFF"/>
                                      <w:sz w:val="24"/>
                                    </w:rPr>
                                    <w:t xml:space="preserve"> </w:t>
                                  </w:r>
                                  <w:r w:rsidRPr="00EA4CD3">
                                    <w:rPr>
                                      <w:color w:val="FFFFFF"/>
                                      <w:sz w:val="21"/>
                                      <w:szCs w:val="21"/>
                                    </w:rPr>
                                    <w:t>IE00B2PLHB10)</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898CA12" w:rsidR="002B0B2B" w:rsidRPr="00742006" w:rsidRDefault="008A3787" w:rsidP="008A3787">
                            <w:pPr>
                              <w:spacing w:after="80" w:line="300" w:lineRule="exact"/>
                              <w:rPr>
                                <w:rFonts w:cs="Arial"/>
                                <w:color w:val="FFFFFF"/>
                                <w:sz w:val="21"/>
                                <w:szCs w:val="21"/>
                              </w:rPr>
                            </w:pPr>
                            <w:r w:rsidRPr="00742006">
                              <w:rPr>
                                <w:color w:val="FFFFFF"/>
                                <w:sz w:val="21"/>
                                <w:szCs w:val="21"/>
                              </w:rPr>
                              <w:t>Klasse A1 thesaurierend GBP (ISIN: IE00B2PLHD34)</w:t>
                            </w:r>
                          </w:p>
                        </w:tc>
                        <w:tc>
                          <w:tcPr>
                            <w:tcW w:w="5452" w:type="dxa"/>
                          </w:tcPr>
                          <w:p w14:paraId="0D06B7D6" w14:textId="2D3D7DB3" w:rsidR="002B0B2B" w:rsidRPr="00742006" w:rsidRDefault="008A3787" w:rsidP="008A3787">
                            <w:pPr>
                              <w:spacing w:after="80" w:line="300" w:lineRule="exact"/>
                              <w:rPr>
                                <w:rFonts w:cs="Arial"/>
                                <w:color w:val="FFFFFF"/>
                                <w:sz w:val="21"/>
                                <w:szCs w:val="21"/>
                              </w:rPr>
                            </w:pPr>
                            <w:r w:rsidRPr="00742006">
                              <w:rPr>
                                <w:color w:val="FFFFFF"/>
                                <w:sz w:val="21"/>
                                <w:szCs w:val="21"/>
                              </w:rPr>
                              <w:t>Klasse A1 thesaurierend USD (ISIN: IE00B2PLHH71)</w:t>
                            </w:r>
                          </w:p>
                        </w:tc>
                      </w:tr>
                      <w:tr w:rsidR="008A3787" w14:paraId="250F892C" w14:textId="77777777" w:rsidTr="005D7124">
                        <w:trPr>
                          <w:trHeight w:val="345"/>
                          <w:jc w:val="center"/>
                        </w:trPr>
                        <w:tc>
                          <w:tcPr>
                            <w:tcW w:w="5383" w:type="dxa"/>
                          </w:tcPr>
                          <w:p w14:paraId="7F65084C" w14:textId="0A05E3F0" w:rsidR="008A3787" w:rsidRPr="005D7124" w:rsidRDefault="008A3787" w:rsidP="008A3787">
                            <w:pPr>
                              <w:spacing w:after="80" w:line="300" w:lineRule="exact"/>
                              <w:jc w:val="left"/>
                              <w:rPr>
                                <w:rFonts w:cs="Arial"/>
                                <w:color w:val="FFFFFF"/>
                                <w:sz w:val="24"/>
                                <w:szCs w:val="25"/>
                              </w:rPr>
                            </w:pPr>
                            <w:r w:rsidRPr="00EA4CD3">
                              <w:rPr>
                                <w:color w:val="FFFFFF"/>
                                <w:sz w:val="21"/>
                                <w:szCs w:val="21"/>
                              </w:rPr>
                              <w:t>Klasse A1 thesaurierend EUR (ISIN:</w:t>
                            </w:r>
                            <w:r>
                              <w:rPr>
                                <w:color w:val="FFFFFF"/>
                                <w:sz w:val="24"/>
                              </w:rPr>
                              <w:t xml:space="preserve"> </w:t>
                            </w:r>
                            <w:r w:rsidRPr="00EA4CD3">
                              <w:rPr>
                                <w:color w:val="FFFFFF"/>
                                <w:sz w:val="21"/>
                                <w:szCs w:val="21"/>
                              </w:rPr>
                              <w:t>IE00B2PLHB10)</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7EA51DF1" w:rsidR="005B6E23" w:rsidRDefault="0084674C">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28"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3B1CEC4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i3hw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EA4CD3">
        <w:rPr>
          <w:noProof/>
          <w:lang w:eastAsia="ja-JP"/>
        </w:rPr>
        <mc:AlternateContent>
          <mc:Choice Requires="wps">
            <w:drawing>
              <wp:anchor distT="0" distB="0" distL="114300" distR="114300" simplePos="0" relativeHeight="251663360" behindDoc="0" locked="0" layoutInCell="1" allowOverlap="1" wp14:anchorId="16C457A2" wp14:editId="738633A2">
                <wp:simplePos x="0" y="0"/>
                <wp:positionH relativeFrom="column">
                  <wp:posOffset>-672465</wp:posOffset>
                </wp:positionH>
                <wp:positionV relativeFrom="paragraph">
                  <wp:posOffset>1388745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2.95pt;margin-top:109.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12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EA4CD3">
        <w:rPr>
          <w:noProof/>
          <w:lang w:eastAsia="ja-JP"/>
        </w:rPr>
        <mc:AlternateContent>
          <mc:Choice Requires="wps">
            <w:drawing>
              <wp:anchor distT="0" distB="0" distL="114300" distR="114300" simplePos="0" relativeHeight="251664384" behindDoc="0" locked="0" layoutInCell="1" allowOverlap="1" wp14:anchorId="2B2EE4E4" wp14:editId="171CBCC4">
                <wp:simplePos x="0" y="0"/>
                <wp:positionH relativeFrom="column">
                  <wp:posOffset>-666750</wp:posOffset>
                </wp:positionH>
                <wp:positionV relativeFrom="paragraph">
                  <wp:posOffset>1647825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5pt;margin-top:129.7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Hy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5FA01543" w:rsidR="00EC7D6F" w:rsidRPr="00EC7D6F" w:rsidRDefault="00EC7D6F" w:rsidP="0050106F">
                      <w:pPr>
                        <w:pStyle w:val="KIIDtext1"/>
                        <w:spacing w:line="240" w:lineRule="auto"/>
                        <w:rPr>
                          <w:rFonts w:cs="Arial"/>
                          <w:sz w:val="17"/>
                        </w:rPr>
                      </w:pPr>
                      <w:r w:rsidRPr="00BA499D">
                        <w:rPr>
                          <w:sz w:val="16"/>
                          <w:szCs w:val="16"/>
                        </w:rPr>
                        <w:t>Eine detaillierte Beschreibung der für den Fonds geltenden Risikofaktoren kann dem Fondsprospe</w:t>
                      </w:r>
                      <w:r w:rsidR="009E58DD">
                        <w:rPr>
                          <w:sz w:val="16"/>
                          <w:szCs w:val="16"/>
                        </w:rPr>
                        <w:t>k</w:t>
                      </w:r>
                      <w:r w:rsidRPr="00BA499D">
                        <w:rPr>
                          <w:sz w:val="16"/>
                          <w:szCs w:val="16"/>
                        </w:rPr>
                        <w:t>t</w:t>
                      </w:r>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C9WKHv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t xml:space="preserve">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color w:val="5F5F5F"/>
                          <w:sz w:val="18"/>
                          <w:szCs w:val="18"/>
                          <w:rFonts w:cs="Arial"/>
                        </w:rPr>
                      </w:pPr>
                      <w:r>
                        <w:rPr>
                          <w:b/>
                          <w:caps/>
                          <w:color w:val="006747"/>
                          <w:sz w:val="21"/>
                        </w:rPr>
                        <w:t xml:space="preserve">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2002191E">
                <wp:simplePos x="0" y="0"/>
                <wp:positionH relativeFrom="column">
                  <wp:posOffset>2981325</wp:posOffset>
                </wp:positionH>
                <wp:positionV relativeFrom="paragraph">
                  <wp:posOffset>-247651</wp:posOffset>
                </wp:positionV>
                <wp:extent cx="3383915" cy="27336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336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702C6AAE" w:rsidR="00860C1C" w:rsidRPr="00BF2182" w:rsidRDefault="001B5511" w:rsidP="007C2529">
                                  <w:pPr>
                                    <w:pStyle w:val="KIIDtext1"/>
                                    <w:autoSpaceDE w:val="0"/>
                                    <w:autoSpaceDN w:val="0"/>
                                    <w:adjustRightInd w:val="0"/>
                                    <w:spacing w:line="200" w:lineRule="exact"/>
                                    <w:rPr>
                                      <w:rFonts w:cs="Arial"/>
                                      <w:sz w:val="12"/>
                                      <w:szCs w:val="12"/>
                                    </w:rPr>
                                  </w:pPr>
                                  <w:r w:rsidRPr="00BF2182">
                                    <w:rPr>
                                      <w:sz w:val="12"/>
                                      <w:szCs w:val="12"/>
                                    </w:rPr>
                                    <w:t>Schwelle: SONIA GBP für A1-GBP-Anteile, Euro Short Term Rate für A1-EUR-Anteile bzw. 90-Tage-US-Libor für A1-USD-Anteile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9.5pt;width:266.45pt;height:2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702C6AAE" w:rsidR="00860C1C" w:rsidRPr="00BF2182" w:rsidRDefault="001B5511" w:rsidP="007C2529">
                            <w:pPr>
                              <w:pStyle w:val="KIIDtext1"/>
                              <w:autoSpaceDE w:val="0"/>
                              <w:autoSpaceDN w:val="0"/>
                              <w:adjustRightInd w:val="0"/>
                              <w:spacing w:line="200" w:lineRule="exact"/>
                              <w:rPr>
                                <w:rFonts w:cs="Arial"/>
                                <w:sz w:val="12"/>
                                <w:szCs w:val="12"/>
                              </w:rPr>
                            </w:pPr>
                            <w:r w:rsidRPr="00BF2182">
                              <w:rPr>
                                <w:sz w:val="12"/>
                                <w:szCs w:val="12"/>
                              </w:rPr>
                              <w:t>Schwelle: SONIA GBP für A1-GBP-Anteile, Euro Short Term Rate für A1-EUR-Anteile bzw. 90-Tage-US-Libor für A1-USD-Anteile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6"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eD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ZVH&#10;eW00ewJhWA20AcXwmsCk1fYLRj10Zo3d5x2xHCP5RoG4yqwoQivHRTFb5LCw55bNuYUoClA19hiN&#10;01s/tv/OWLFt4aZRzkpfgyAbEaUSlDtGdZAxdF/M6fBShPY+X0evH+/Z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C+3N4OGAgAAFwUAAA4AAAAAAAAAAAAAAAAALgIAAGRycy9lMm9Eb2MueG1sUEsBAi0AFAAGAAgA&#10;AAAhAGA1FA3fAAAACwEAAA8AAAAAAAAAAAAAAAAA4AQAAGRycy9kb3ducmV2LnhtbFBLBQYAAAAA&#10;BAAEAPMAAADsBQ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65AD77ED" w:rsidR="00F631E3" w:rsidRDefault="00F26250">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0EE8F9E3">
                <wp:simplePos x="0" y="0"/>
                <wp:positionH relativeFrom="column">
                  <wp:posOffset>-514350</wp:posOffset>
                </wp:positionH>
                <wp:positionV relativeFrom="paragraph">
                  <wp:posOffset>309245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8" type="#_x0000_t202" style="position:absolute;margin-left:-40.5pt;margin-top:24.3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On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4ADEABF8">
                <wp:simplePos x="0" y="0"/>
                <wp:positionH relativeFrom="margin">
                  <wp:posOffset>-477520</wp:posOffset>
                </wp:positionH>
                <wp:positionV relativeFrom="paragraph">
                  <wp:posOffset>238125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BF6A0" id="_x0000_t32" coordsize="21600,21600" o:spt="32" o:oned="t" path="m,l21600,21600e" filled="f">
                <v:path arrowok="t" fillok="f" o:connecttype="none"/>
                <o:lock v:ext="edit" shapetype="t"/>
              </v:shapetype>
              <v:shape id="AutoShape 129" o:spid="_x0000_s1026" type="#_x0000_t32" style="position:absolute;margin-left:-37.6pt;margin-top:18.7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qVLnl94AAAAKAQAADwAAAAAAAAAAAAAAAACABAAAZHJzL2Rv&#10;d25yZXYueG1sUEsFBgAAAAAEAAQA8wAAAIsFAAAAAA==&#10;" strokecolor="#006747">
                <w10:wrap anchorx="margin"/>
              </v:shape>
            </w:pict>
          </mc:Fallback>
        </mc:AlternateContent>
      </w:r>
    </w:p>
    <w:p w14:paraId="4FE81C06" w14:textId="77777777" w:rsidR="009813A8" w:rsidRDefault="009813A8">
      <w:pPr>
        <w:widowControl/>
        <w:spacing w:after="160" w:line="259" w:lineRule="auto"/>
        <w:jc w:val="left"/>
      </w:pPr>
    </w:p>
    <w:p w14:paraId="7D153BAF" w14:textId="2F728153" w:rsidR="00D91E47" w:rsidRDefault="007F4CBB" w:rsidP="009813A8">
      <w:pPr>
        <w:widowControl/>
        <w:spacing w:after="160" w:line="259" w:lineRule="auto"/>
      </w:pPr>
      <w:r>
        <w:t xml:space="preserve">  </w:t>
      </w:r>
      <w:r w:rsidR="006C68EB">
        <w:rPr>
          <w:noProof/>
          <w:lang w:eastAsia="ja-JP"/>
        </w:rPr>
        <w:drawing>
          <wp:anchor distT="0" distB="0" distL="114300" distR="114300" simplePos="0" relativeHeight="251708416" behindDoc="0" locked="0" layoutInCell="1" allowOverlap="1" wp14:anchorId="52911747" wp14:editId="0AAB8A52">
            <wp:simplePos x="0" y="0"/>
            <wp:positionH relativeFrom="column">
              <wp:posOffset>66675</wp:posOffset>
            </wp:positionH>
            <wp:positionV relativeFrom="paragraph">
              <wp:posOffset>-3175</wp:posOffset>
            </wp:positionV>
            <wp:extent cx="5294630" cy="126619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94630" cy="1266190"/>
                    </a:xfrm>
                    <a:prstGeom prst="rect">
                      <a:avLst/>
                    </a:prstGeom>
                  </pic:spPr>
                </pic:pic>
              </a:graphicData>
            </a:graphic>
            <wp14:sizeRelH relativeFrom="page">
              <wp14:pctWidth>0</wp14:pctWidth>
            </wp14:sizeRelH>
            <wp14:sizeRelV relativeFrom="page">
              <wp14:pctHeight>0</wp14:pctHeight>
            </wp14:sizeRelV>
          </wp:anchor>
        </w:drawing>
      </w:r>
    </w:p>
    <w:p w14:paraId="2FDBC5E8" w14:textId="261CFEEF" w:rsidR="00D91E47" w:rsidRDefault="00D91E47">
      <w:pPr>
        <w:widowControl/>
        <w:spacing w:after="160" w:line="259" w:lineRule="auto"/>
        <w:jc w:val="left"/>
      </w:pPr>
    </w:p>
    <w:p w14:paraId="71E618D1" w14:textId="77777777" w:rsidR="006C68EB" w:rsidRDefault="006C68EB">
      <w:pPr>
        <w:widowControl/>
        <w:spacing w:after="160" w:line="259" w:lineRule="auto"/>
        <w:jc w:val="left"/>
      </w:pPr>
    </w:p>
    <w:p w14:paraId="3182067E" w14:textId="77777777" w:rsidR="006C68EB" w:rsidRDefault="006C68EB">
      <w:pPr>
        <w:widowControl/>
        <w:spacing w:after="160" w:line="259" w:lineRule="auto"/>
        <w:jc w:val="left"/>
      </w:pPr>
    </w:p>
    <w:p w14:paraId="643FD77A" w14:textId="30A76E46" w:rsidR="006C68EB" w:rsidRDefault="00D04389">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49BF35C1">
                <wp:simplePos x="0" y="0"/>
                <wp:positionH relativeFrom="column">
                  <wp:posOffset>-466725</wp:posOffset>
                </wp:positionH>
                <wp:positionV relativeFrom="paragraph">
                  <wp:posOffset>331470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EF5ADBE" w:rsidR="002C6136" w:rsidRPr="000D0763" w:rsidRDefault="00FE2606" w:rsidP="00790B90">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berücksichtigen sämtliche den Klasse-A1-Anteilen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39" type="#_x0000_t202" style="position:absolute;margin-left:-36.75pt;margin-top:26.1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eG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" stroked="f">
                <v:textbox>
                  <w:txbxContent>
                    <w:p w14:paraId="18760CF8" w14:textId="1EF5ADBE" w:rsidR="002C6136" w:rsidRPr="000D0763" w:rsidRDefault="00FE2606" w:rsidP="00790B90">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Die in den Charts dargestellten prozentualen Wertentwicklungen berücksichtigen sämtliche den Klasse-A1-Anteilen 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4"/>
                    <w:bookmarkEnd w:id="5"/>
                    <w:bookmarkEnd w:id="6"/>
                    <w:bookmarkEnd w:id="7"/>
                  </w:txbxContent>
                </v:textbox>
              </v:shape>
            </w:pict>
          </mc:Fallback>
        </mc:AlternateContent>
      </w:r>
    </w:p>
    <w:p w14:paraId="003A5D02" w14:textId="556F79FB" w:rsidR="006C68EB" w:rsidRDefault="006C68EB">
      <w:pPr>
        <w:widowControl/>
        <w:spacing w:after="160" w:line="259" w:lineRule="auto"/>
        <w:jc w:val="left"/>
      </w:pPr>
    </w:p>
    <w:p w14:paraId="5A0EC89A" w14:textId="77777777" w:rsidR="006C68EB" w:rsidRDefault="006C68EB">
      <w:pPr>
        <w:widowControl/>
        <w:spacing w:after="160" w:line="259" w:lineRule="auto"/>
        <w:jc w:val="left"/>
      </w:pPr>
    </w:p>
    <w:p w14:paraId="59D3C0D3" w14:textId="2B994963" w:rsidR="00D91E47" w:rsidRDefault="00824542">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546FAC9D">
                <wp:simplePos x="0" y="0"/>
                <wp:positionH relativeFrom="column">
                  <wp:posOffset>3022600</wp:posOffset>
                </wp:positionH>
                <wp:positionV relativeFrom="paragraph">
                  <wp:posOffset>243840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0" type="#_x0000_t202" style="position:absolute;margin-left:238pt;margin-top:19.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iw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0" w:name="_Hlk106030897"/>
                      <w:bookmarkStart w:id="11"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0"/>
                      <w:bookmarkEnd w:id="11"/>
                    </w:p>
                  </w:txbxContent>
                </v:textbox>
              </v:shape>
            </w:pict>
          </mc:Fallback>
        </mc:AlternateContent>
      </w:r>
      <w:r w:rsidR="009A07BE">
        <w:rPr>
          <w:noProof/>
          <w:lang w:eastAsia="ja-JP"/>
        </w:rPr>
        <mc:AlternateContent>
          <mc:Choice Requires="wps">
            <w:drawing>
              <wp:anchor distT="0" distB="0" distL="114300" distR="114300" simplePos="0" relativeHeight="251688960" behindDoc="0" locked="0" layoutInCell="1" allowOverlap="1" wp14:anchorId="05C78577" wp14:editId="329ED352">
                <wp:simplePos x="0" y="0"/>
                <wp:positionH relativeFrom="column">
                  <wp:posOffset>-487045</wp:posOffset>
                </wp:positionH>
                <wp:positionV relativeFrom="paragraph">
                  <wp:posOffset>229235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8.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3V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9A07BE">
        <w:rPr>
          <w:noProof/>
          <w:color w:val="000000"/>
          <w:lang w:eastAsia="ja-JP"/>
        </w:rPr>
        <mc:AlternateContent>
          <mc:Choice Requires="wps">
            <w:drawing>
              <wp:anchor distT="0" distB="0" distL="114300" distR="114300" simplePos="0" relativeHeight="251686912" behindDoc="0" locked="0" layoutInCell="1" allowOverlap="1" wp14:anchorId="1134C902" wp14:editId="710531E9">
                <wp:simplePos x="0" y="0"/>
                <wp:positionH relativeFrom="margin">
                  <wp:posOffset>-541020</wp:posOffset>
                </wp:positionH>
                <wp:positionV relativeFrom="paragraph">
                  <wp:posOffset>174625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7A49" id="AutoShape 134" o:spid="_x0000_s1026" type="#_x0000_t32" style="position:absolute;margin-left:-42.6pt;margin-top:13.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" strokecolor="#006747">
                <w10:wrap anchorx="margin"/>
              </v:shape>
            </w:pict>
          </mc:Fallback>
        </mc:AlternateContent>
      </w:r>
    </w:p>
    <w:p w14:paraId="03DC48A2" w14:textId="6330F5A2" w:rsidR="005B6E23" w:rsidRDefault="00734772">
      <w:pPr>
        <w:widowControl/>
        <w:spacing w:after="160" w:line="259" w:lineRule="auto"/>
        <w:jc w:val="left"/>
      </w:pPr>
      <w:r>
        <w:rPr>
          <w:noProof/>
          <w:lang w:eastAsia="ja-JP"/>
        </w:rPr>
        <mc:AlternateContent>
          <mc:Choice Requires="wps">
            <w:drawing>
              <wp:anchor distT="0" distB="0" distL="114300" distR="114300" simplePos="0" relativeHeight="251693056" behindDoc="0" locked="0" layoutInCell="1" allowOverlap="1" wp14:anchorId="49686F48" wp14:editId="523C38E3">
                <wp:simplePos x="0" y="0"/>
                <wp:positionH relativeFrom="column">
                  <wp:posOffset>-463550</wp:posOffset>
                </wp:positionH>
                <wp:positionV relativeFrom="paragraph">
                  <wp:posOffset>171450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2CF75F9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2" w:history="1">
                              <w:r w:rsidR="009532BF" w:rsidRPr="009A7E89">
                                <w:rPr>
                                  <w:rStyle w:val="Hyperlink"/>
                                  <w:sz w:val="16"/>
                                  <w:szCs w:val="16"/>
                                </w:rPr>
                                <w:t>https://www.cqs.com/documents/regulatory-disclosures/cqs_ucits_remuneration_policy.pdf</w:t>
                              </w:r>
                            </w:hyperlink>
                            <w:r w:rsidR="009532BF">
                              <w:rPr>
                                <w:sz w:val="16"/>
                                <w:szCs w:val="16"/>
                              </w:rPr>
                              <w:t xml:space="preserve"> </w:t>
                            </w:r>
                          </w:p>
                          <w:p w14:paraId="13585DF8" w14:textId="4123263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3" w:history="1">
                              <w:r w:rsidR="009532BF" w:rsidRPr="009A7E89">
                                <w:rPr>
                                  <w:rStyle w:val="Hyperlink"/>
                                  <w:sz w:val="16"/>
                                  <w:szCs w:val="16"/>
                                </w:rPr>
                                <w:t>https://kbassociates.ie</w:t>
                              </w:r>
                            </w:hyperlink>
                            <w:r w:rsidR="009532BF">
                              <w:rPr>
                                <w:sz w:val="16"/>
                                <w:szCs w:val="16"/>
                              </w:rPr>
                              <w:t xml:space="preserve"> </w:t>
                            </w:r>
                            <w:r w:rsidRPr="00C5682E">
                              <w:rPr>
                                <w:sz w:val="16"/>
                                <w:szCs w:val="16"/>
                              </w:rPr>
                              <w:t xml:space="preserve">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3.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" stroked="f">
                <v:textbox>
                  <w:txbxContent>
                    <w:p w14:paraId="0AF27AA9" w14:textId="2CF75F9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9532BF" w:rsidRPr="009A7E89">
                          <w:rPr>
                            <w:rStyle w:val="Hyperlink"/>
                            <w:sz w:val="16"/>
                            <w:szCs w:val="16"/>
                          </w:rPr>
                          <w:t>https://www.cqs.com/documents/regulatory-disclosures/cqs_ucits_remuneration_policy.pdf</w:t>
                        </w:r>
                      </w:hyperlink>
                      <w:r w:rsidR="009532BF">
                        <w:rPr>
                          <w:sz w:val="16"/>
                          <w:szCs w:val="16"/>
                        </w:rPr>
                        <w:t xml:space="preserve"> </w:t>
                      </w:r>
                    </w:p>
                    <w:p w14:paraId="13585DF8" w14:textId="4123263C"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9532BF" w:rsidRPr="009A7E89">
                          <w:rPr>
                            <w:rStyle w:val="Hyperlink"/>
                            <w:sz w:val="16"/>
                            <w:szCs w:val="16"/>
                          </w:rPr>
                          <w:t>https://kbassociates.ie</w:t>
                        </w:r>
                      </w:hyperlink>
                      <w:r w:rsidR="009532BF">
                        <w:rPr>
                          <w:sz w:val="16"/>
                          <w:szCs w:val="16"/>
                        </w:rPr>
                        <w:t xml:space="preserve"> </w:t>
                      </w:r>
                      <w:r w:rsidRPr="00C5682E">
                        <w:rPr>
                          <w:sz w:val="16"/>
                          <w:szCs w:val="16"/>
                        </w:rPr>
                        <w:t xml:space="preserve">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68106E">
        <w:rPr>
          <w:noProof/>
          <w:lang w:eastAsia="ja-JP"/>
        </w:rPr>
        <w:drawing>
          <wp:anchor distT="0" distB="0" distL="114300" distR="114300" simplePos="0" relativeHeight="251707392" behindDoc="0" locked="0" layoutInCell="1" allowOverlap="1" wp14:anchorId="1A56C5E6" wp14:editId="7C844A31">
            <wp:simplePos x="0" y="0"/>
            <wp:positionH relativeFrom="column">
              <wp:posOffset>3829050</wp:posOffset>
            </wp:positionH>
            <wp:positionV relativeFrom="paragraph">
              <wp:posOffset>4032250</wp:posOffset>
            </wp:positionV>
            <wp:extent cx="1485900" cy="698429"/>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8429"/>
                    </a:xfrm>
                    <a:prstGeom prst="rect">
                      <a:avLst/>
                    </a:prstGeom>
                  </pic:spPr>
                </pic:pic>
              </a:graphicData>
            </a:graphic>
            <wp14:sizeRelH relativeFrom="page">
              <wp14:pctWidth>0</wp14:pctWidth>
            </wp14:sizeRelH>
            <wp14:sizeRelV relativeFrom="page">
              <wp14:pctHeight>0</wp14:pctHeight>
            </wp14:sizeRelV>
          </wp:anchor>
        </w:drawing>
      </w:r>
      <w:r w:rsidR="001C67F5">
        <w:rPr>
          <w:noProof/>
          <w:lang w:eastAsia="ja-JP"/>
        </w:rPr>
        <mc:AlternateContent>
          <mc:Choice Requires="wps">
            <w:drawing>
              <wp:anchor distT="0" distB="0" distL="114300" distR="114300" simplePos="0" relativeHeight="251695104" behindDoc="0" locked="0" layoutInCell="1" allowOverlap="1" wp14:anchorId="4246B9A2" wp14:editId="684C28E2">
                <wp:simplePos x="0" y="0"/>
                <wp:positionH relativeFrom="column">
                  <wp:posOffset>-504825</wp:posOffset>
                </wp:positionH>
                <wp:positionV relativeFrom="paragraph">
                  <wp:posOffset>2498725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39.75pt;margin-top:196.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aXwA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 xml:space="preserve">Für den Vertrieb ausländischer Organismen für kollektive Anlagen an qualifizierte Anleger in der Schweiz (soweit zutreffend) erforderliche Informationen: Der Vertreter in </w:t>
                      </w:r>
                      <w:r w:rsidRPr="000F534C">
                        <w:rPr>
                          <w:color w:val="A6A6A6"/>
                          <w:sz w:val="14"/>
                        </w:rPr>
                        <w:t>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6"/>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232D1">
      <w:rPr>
        <w:caps/>
        <w:noProof/>
        <w:color w:val="5B9BD5" w:themeColor="accent1"/>
      </w:rPr>
      <w:t>1</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748252">
    <w:abstractNumId w:val="7"/>
  </w:num>
  <w:num w:numId="2" w16cid:durableId="1828013889">
    <w:abstractNumId w:val="8"/>
  </w:num>
  <w:num w:numId="3" w16cid:durableId="1691831615">
    <w:abstractNumId w:val="2"/>
  </w:num>
  <w:num w:numId="4" w16cid:durableId="1972319366">
    <w:abstractNumId w:val="8"/>
  </w:num>
  <w:num w:numId="5" w16cid:durableId="692850673">
    <w:abstractNumId w:val="0"/>
  </w:num>
  <w:num w:numId="6" w16cid:durableId="1215583874">
    <w:abstractNumId w:val="4"/>
  </w:num>
  <w:num w:numId="7" w16cid:durableId="1098409457">
    <w:abstractNumId w:val="3"/>
  </w:num>
  <w:num w:numId="8" w16cid:durableId="1456874640">
    <w:abstractNumId w:val="6"/>
  </w:num>
  <w:num w:numId="9" w16cid:durableId="2116971820">
    <w:abstractNumId w:val="5"/>
  </w:num>
  <w:num w:numId="10" w16cid:durableId="1451318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232D1"/>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32BF"/>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95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33</cp:revision>
  <cp:lastPrinted>2022-03-14T12:29:00Z</cp:lastPrinted>
  <dcterms:created xsi:type="dcterms:W3CDTF">2022-08-04T07:51:00Z</dcterms:created>
  <dcterms:modified xsi:type="dcterms:W3CDTF">2022-11-01T11:19:00Z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