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5DDC764A" w:rsidR="005B6E23" w:rsidRDefault="00A573AF" w:rsidP="005B6E23">
      <w:r>
        <w:rPr>
          <w:noProof/>
          <w:color w:val="000000"/>
          <w:lang w:val="de-DE" w:eastAsia="ja-JP"/>
        </w:rPr>
        <mc:AlternateContent>
          <mc:Choice Requires="wps">
            <w:drawing>
              <wp:anchor distT="0" distB="0" distL="114300" distR="114300" simplePos="0" relativeHeight="251661312" behindDoc="0" locked="0" layoutInCell="1" allowOverlap="1" wp14:anchorId="34CD893F" wp14:editId="00273B95">
                <wp:simplePos x="0" y="0"/>
                <wp:positionH relativeFrom="page">
                  <wp:posOffset>0</wp:posOffset>
                </wp:positionH>
                <wp:positionV relativeFrom="paragraph">
                  <wp:posOffset>337820</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6DF27E" id="_x0000_t32" coordsize="21600,21600" o:spt="32" o:oned="t" path="m,l21600,21600e" filled="f">
                <v:path arrowok="t" fillok="f" o:connecttype="none"/>
                <o:lock v:ext="edit" shapetype="t"/>
              </v:shapetype>
              <v:shape id="AutoShape 94" o:spid="_x0000_s1026" type="#_x0000_t32" style="position:absolute;margin-left:0;margin-top:26.6pt;width:7609.55pt;height:.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" strokecolor="#006747" strokeweight="2pt">
                <w10:wrap anchorx="page"/>
              </v:shape>
            </w:pict>
          </mc:Fallback>
        </mc:AlternateContent>
      </w:r>
      <w:r w:rsidR="008335CB">
        <w:rPr>
          <w:noProof/>
          <w:lang w:val="de-DE" w:eastAsia="ja-JP"/>
        </w:rPr>
        <mc:AlternateContent>
          <mc:Choice Requires="wps">
            <w:drawing>
              <wp:anchor distT="0" distB="0" distL="114300" distR="114300" simplePos="0" relativeHeight="251659264" behindDoc="0" locked="0" layoutInCell="1" allowOverlap="1" wp14:anchorId="28A12853" wp14:editId="34B590B2">
                <wp:simplePos x="0" y="0"/>
                <wp:positionH relativeFrom="column">
                  <wp:posOffset>-561975</wp:posOffset>
                </wp:positionH>
                <wp:positionV relativeFrom="paragraph">
                  <wp:posOffset>-590551</wp:posOffset>
                </wp:positionV>
                <wp:extent cx="4685030" cy="885825"/>
                <wp:effectExtent l="0" t="0" r="1270"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88582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77777777" w:rsidR="000D6449" w:rsidRPr="008335CB" w:rsidRDefault="000D6449" w:rsidP="005B6E23">
                            <w:pPr>
                              <w:spacing w:line="200" w:lineRule="exact"/>
                              <w:rPr>
                                <w:b/>
                                <w:caps/>
                                <w:color w:val="006747"/>
                                <w:sz w:val="18"/>
                                <w:szCs w:val="18"/>
                                <w:lang w:val="es-ES"/>
                              </w:rPr>
                            </w:pPr>
                            <w:r>
                              <w:rPr>
                                <w:b/>
                                <w:bCs/>
                                <w:caps/>
                                <w:color w:val="006747"/>
                                <w:sz w:val="18"/>
                                <w:szCs w:val="18"/>
                                <w:lang w:val="es"/>
                              </w:rPr>
                              <w:t>Datos fundamentales para el inversor</w:t>
                            </w:r>
                          </w:p>
                          <w:p w14:paraId="4CCF5C9A" w14:textId="050EAB6C" w:rsidR="000D6449" w:rsidRPr="008335CB" w:rsidRDefault="000D6449" w:rsidP="005B6E23">
                            <w:pPr>
                              <w:spacing w:line="200" w:lineRule="exact"/>
                              <w:rPr>
                                <w:color w:val="006747"/>
                                <w:sz w:val="16"/>
                                <w:szCs w:val="16"/>
                                <w:lang w:val="es-ES"/>
                              </w:rPr>
                            </w:pPr>
                            <w:r w:rsidRPr="008335CB">
                              <w:rPr>
                                <w:color w:val="006747"/>
                                <w:sz w:val="16"/>
                                <w:szCs w:val="16"/>
                                <w:lang w:val="es"/>
                              </w:rPr>
                              <w:t>El presente documento recoge los datos fundamentales sobre este Fondo que el inversor debe conocer. No se trata de material de promoción comercial. La ley exige que se facilite esta información para ayudarle a comprender la naturaleza del Fondo y los riesgos que comporta invertir en él. Es aconsejable que lea el documento para poder tomar una decisión fundada sobre la conveniencia o no de invertir en él.</w:t>
                            </w:r>
                          </w:p>
                          <w:p w14:paraId="4A2053A4" w14:textId="77777777" w:rsidR="000D6449" w:rsidRPr="008335CB" w:rsidRDefault="000D6449" w:rsidP="005B6E23">
                            <w:pPr>
                              <w:spacing w:line="200" w:lineRule="exact"/>
                              <w:rPr>
                                <w:color w:val="006747"/>
                                <w:sz w:val="18"/>
                                <w:szCs w:val="18"/>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68.9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" fillcolor="#cce1da" stroked="f" strokecolor="#006747" strokeweight="1pt">
                <v:textbox>
                  <w:txbxContent>
                    <w:p w14:paraId="65D8E4D3" w14:textId="77777777" w:rsidR="000D6449" w:rsidRPr="008335CB" w:rsidRDefault="000D6449" w:rsidP="005B6E23">
                      <w:pPr>
                        <w:spacing w:line="200" w:lineRule="exact"/>
                        <w:rPr>
                          <w:b/>
                          <w:caps/>
                          <w:color w:val="006747"/>
                          <w:sz w:val="18"/>
                          <w:szCs w:val="18"/>
                          <w:lang w:val="es-ES"/>
                        </w:rPr>
                      </w:pPr>
                      <w:r>
                        <w:rPr>
                          <w:b/>
                          <w:bCs/>
                          <w:caps/>
                          <w:color w:val="006747"/>
                          <w:sz w:val="18"/>
                          <w:szCs w:val="18"/>
                          <w:lang w:val="es"/>
                        </w:rPr>
                        <w:t>Datos fundamentales para el inversor</w:t>
                      </w:r>
                    </w:p>
                    <w:p w14:paraId="4CCF5C9A" w14:textId="050EAB6C" w:rsidR="000D6449" w:rsidRPr="008335CB" w:rsidRDefault="000D6449" w:rsidP="005B6E23">
                      <w:pPr>
                        <w:spacing w:line="200" w:lineRule="exact"/>
                        <w:rPr>
                          <w:color w:val="006747"/>
                          <w:sz w:val="16"/>
                          <w:szCs w:val="16"/>
                          <w:lang w:val="es-ES"/>
                        </w:rPr>
                      </w:pPr>
                      <w:r w:rsidRPr="008335CB">
                        <w:rPr>
                          <w:color w:val="006747"/>
                          <w:sz w:val="16"/>
                          <w:szCs w:val="16"/>
                          <w:lang w:val="es"/>
                        </w:rPr>
                        <w:t>El presente documento recoge los datos fundamentales sobre este Fondo que el inversor debe conocer. No se trata de material de promoción comercial. La ley exige que se facilite esta información para ayudarle a comprender la naturaleza del Fondo y los riesgos que comporta invertir en él. Es aconsejable que lea el documento para poder tomar una decisión fundada sobre la conveniencia o no de invertir en él.</w:t>
                      </w:r>
                    </w:p>
                    <w:p w14:paraId="4A2053A4" w14:textId="77777777" w:rsidR="000D6449" w:rsidRPr="008335CB" w:rsidRDefault="000D6449" w:rsidP="005B6E23">
                      <w:pPr>
                        <w:spacing w:line="200" w:lineRule="exact"/>
                        <w:rPr>
                          <w:color w:val="006747"/>
                          <w:sz w:val="18"/>
                          <w:szCs w:val="18"/>
                          <w:lang w:val="es-ES"/>
                        </w:rPr>
                      </w:pPr>
                    </w:p>
                  </w:txbxContent>
                </v:textbox>
              </v:shape>
            </w:pict>
          </mc:Fallback>
        </mc:AlternateContent>
      </w:r>
      <w:r w:rsidR="00E7589F">
        <w:rPr>
          <w:noProof/>
          <w:lang w:val="de-DE" w:eastAsia="ja-JP"/>
        </w:rPr>
        <w:drawing>
          <wp:anchor distT="0" distB="0" distL="114300" distR="114300" simplePos="0" relativeHeight="251703296" behindDoc="0" locked="0" layoutInCell="1" allowOverlap="1" wp14:anchorId="773F256F" wp14:editId="0DE3150D">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p w14:paraId="5535904C" w14:textId="0F662D17" w:rsidR="005B6E23" w:rsidRDefault="008A3787">
      <w:r>
        <w:rPr>
          <w:noProof/>
          <w:lang w:val="de-DE" w:eastAsia="ja-JP"/>
        </w:rPr>
        <mc:AlternateContent>
          <mc:Choice Requires="wps">
            <w:drawing>
              <wp:anchor distT="0" distB="0" distL="114300" distR="114300" simplePos="0" relativeHeight="251662336" behindDoc="0" locked="0" layoutInCell="1" allowOverlap="1" wp14:anchorId="42E03D93" wp14:editId="3C42DECA">
                <wp:simplePos x="0" y="0"/>
                <wp:positionH relativeFrom="page">
                  <wp:posOffset>238125</wp:posOffset>
                </wp:positionH>
                <wp:positionV relativeFrom="paragraph">
                  <wp:posOffset>171451</wp:posOffset>
                </wp:positionV>
                <wp:extent cx="6965950" cy="1352550"/>
                <wp:effectExtent l="0" t="0" r="6350" b="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352550"/>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32A02B45" w:rsidR="000D6449" w:rsidRPr="00AE7351" w:rsidRDefault="000D6449" w:rsidP="005B6E23">
                            <w:pPr>
                              <w:autoSpaceDE w:val="0"/>
                              <w:autoSpaceDN w:val="0"/>
                              <w:adjustRightInd w:val="0"/>
                              <w:spacing w:after="80" w:line="240" w:lineRule="auto"/>
                              <w:jc w:val="left"/>
                              <w:rPr>
                                <w:rFonts w:cs="Arial"/>
                                <w:b/>
                                <w:bCs/>
                                <w:color w:val="FFFFFF"/>
                                <w:sz w:val="30"/>
                                <w:szCs w:val="30"/>
                              </w:rPr>
                            </w:pPr>
                            <w:r w:rsidRPr="00AE7351">
                              <w:rPr>
                                <w:rFonts w:cs="Arial"/>
                                <w:b/>
                                <w:bCs/>
                                <w:color w:val="FFFFFF"/>
                                <w:sz w:val="30"/>
                                <w:szCs w:val="30"/>
                                <w:lang w:val="es"/>
                              </w:rPr>
                              <w:t xml:space="preserve">Salar Fund (el Fondo) un </w:t>
                            </w:r>
                            <w:proofErr w:type="spellStart"/>
                            <w:r w:rsidRPr="00AE7351">
                              <w:rPr>
                                <w:rFonts w:cs="Arial"/>
                                <w:b/>
                                <w:bCs/>
                                <w:color w:val="FFFFFF"/>
                                <w:sz w:val="30"/>
                                <w:szCs w:val="30"/>
                                <w:lang w:val="es"/>
                              </w:rPr>
                              <w:t>subfondo</w:t>
                            </w:r>
                            <w:proofErr w:type="spellEnd"/>
                            <w:r w:rsidRPr="00AE7351">
                              <w:rPr>
                                <w:rFonts w:cs="Arial"/>
                                <w:b/>
                                <w:bCs/>
                                <w:color w:val="FFFFFF"/>
                                <w:sz w:val="30"/>
                                <w:szCs w:val="30"/>
                                <w:lang w:val="es"/>
                              </w:rPr>
                              <w:t xml:space="preserve"> de CQS Funds (Ireland) </w:t>
                            </w:r>
                            <w:proofErr w:type="spellStart"/>
                            <w:r w:rsidRPr="00AE7351">
                              <w:rPr>
                                <w:rFonts w:cs="Arial"/>
                                <w:b/>
                                <w:bCs/>
                                <w:color w:val="FFFFFF"/>
                                <w:sz w:val="30"/>
                                <w:szCs w:val="30"/>
                                <w:lang w:val="es"/>
                              </w:rPr>
                              <w:t>plc</w:t>
                            </w:r>
                            <w:proofErr w:type="spellEnd"/>
                            <w:r w:rsidRPr="00AE7351">
                              <w:rPr>
                                <w:rFonts w:cs="Arial"/>
                                <w:b/>
                                <w:bCs/>
                                <w:color w:val="FFFFFF"/>
                                <w:sz w:val="30"/>
                                <w:szCs w:val="30"/>
                                <w:lang w:val="es"/>
                              </w:rPr>
                              <w:t xml:space="preserve"> (la «Sociedad»).</w:t>
                            </w:r>
                            <w:r w:rsidRPr="00AE7351">
                              <w:rPr>
                                <w:rFonts w:ascii="Gill Sans MT" w:hAnsi="Gill Sans MT" w:cs="Arial"/>
                                <w:b/>
                                <w:bCs/>
                                <w:color w:val="FFFFFF"/>
                                <w:sz w:val="30"/>
                                <w:szCs w:val="30"/>
                                <w:lang w:val="es"/>
                              </w:rPr>
                              <w:t xml:space="preserve"> La Gestora es KBA </w:t>
                            </w:r>
                            <w:proofErr w:type="spellStart"/>
                            <w:r w:rsidRPr="00AE7351">
                              <w:rPr>
                                <w:rFonts w:ascii="Gill Sans MT" w:hAnsi="Gill Sans MT" w:cs="Arial"/>
                                <w:b/>
                                <w:bCs/>
                                <w:color w:val="FFFFFF"/>
                                <w:sz w:val="30"/>
                                <w:szCs w:val="30"/>
                                <w:lang w:val="es"/>
                              </w:rPr>
                              <w:t>Consulting</w:t>
                            </w:r>
                            <w:proofErr w:type="spellEnd"/>
                            <w:r w:rsidRPr="00AE7351">
                              <w:rPr>
                                <w:rFonts w:ascii="Gill Sans MT" w:hAnsi="Gill Sans MT" w:cs="Arial"/>
                                <w:b/>
                                <w:bCs/>
                                <w:color w:val="FFFFFF"/>
                                <w:sz w:val="30"/>
                                <w:szCs w:val="30"/>
                                <w:lang w:val="es"/>
                              </w:rPr>
                              <w:t xml:space="preserve"> Management </w:t>
                            </w:r>
                            <w:proofErr w:type="spellStart"/>
                            <w:r w:rsidRPr="00AE7351">
                              <w:rPr>
                                <w:rFonts w:ascii="Gill Sans MT" w:hAnsi="Gill Sans MT" w:cs="Arial"/>
                                <w:b/>
                                <w:bCs/>
                                <w:color w:val="FFFFFF"/>
                                <w:sz w:val="30"/>
                                <w:szCs w:val="30"/>
                                <w:lang w:val="es"/>
                              </w:rPr>
                              <w:t>Limited</w:t>
                            </w:r>
                            <w:proofErr w:type="spellEnd"/>
                            <w:r w:rsidRPr="00AE7351">
                              <w:rPr>
                                <w:rFonts w:ascii="Gill Sans MT" w:hAnsi="Gill Sans MT" w:cs="Arial"/>
                                <w:b/>
                                <w:bCs/>
                                <w:color w:val="FFFFFF"/>
                                <w:sz w:val="30"/>
                                <w:szCs w:val="30"/>
                                <w:lang w:val="es"/>
                              </w:rPr>
                              <w:t xml:space="preserve"> (la Gestora).</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0D6449" w:rsidRPr="00AE7351" w14:paraId="55C73248" w14:textId="77777777" w:rsidTr="005D7124">
                              <w:trPr>
                                <w:trHeight w:val="345"/>
                                <w:jc w:val="center"/>
                              </w:trPr>
                              <w:tc>
                                <w:tcPr>
                                  <w:tcW w:w="5383" w:type="dxa"/>
                                </w:tcPr>
                                <w:p w14:paraId="2B664235" w14:textId="3A56454D" w:rsidR="000D6449" w:rsidRPr="000D6449" w:rsidRDefault="00DE1526" w:rsidP="00DE1526">
                                  <w:pPr>
                                    <w:spacing w:after="80" w:line="300" w:lineRule="exact"/>
                                    <w:rPr>
                                      <w:rFonts w:cs="Arial"/>
                                      <w:color w:val="FFFFFF"/>
                                      <w:sz w:val="22"/>
                                      <w:szCs w:val="22"/>
                                      <w:lang w:val="es-ES"/>
                                    </w:rPr>
                                  </w:pPr>
                                  <w:r>
                                    <w:rPr>
                                      <w:rFonts w:cs="Arial"/>
                                      <w:color w:val="FFFFFF"/>
                                      <w:sz w:val="22"/>
                                      <w:szCs w:val="22"/>
                                      <w:lang w:val="es"/>
                                    </w:rPr>
                                    <w:t>Clase E2</w:t>
                                  </w:r>
                                  <w:r w:rsidR="000D6449" w:rsidRPr="000D6449">
                                    <w:rPr>
                                      <w:rFonts w:cs="Arial"/>
                                      <w:color w:val="FFFFFF"/>
                                      <w:sz w:val="22"/>
                                      <w:szCs w:val="22"/>
                                      <w:lang w:val="es"/>
                                    </w:rPr>
                                    <w:t xml:space="preserve"> </w:t>
                                  </w:r>
                                  <w:proofErr w:type="spellStart"/>
                                  <w:r w:rsidR="000D6449" w:rsidRPr="000D6449">
                                    <w:rPr>
                                      <w:rFonts w:cs="Arial"/>
                                      <w:color w:val="FFFFFF"/>
                                      <w:sz w:val="22"/>
                                      <w:szCs w:val="22"/>
                                      <w:lang w:val="es"/>
                                    </w:rPr>
                                    <w:t>Acc</w:t>
                                  </w:r>
                                  <w:proofErr w:type="spellEnd"/>
                                  <w:r w:rsidR="000D6449" w:rsidRPr="000D6449">
                                    <w:rPr>
                                      <w:rFonts w:cs="Arial"/>
                                      <w:color w:val="FFFFFF"/>
                                      <w:sz w:val="22"/>
                                      <w:szCs w:val="22"/>
                                      <w:lang w:val="es"/>
                                    </w:rPr>
                                    <w:t xml:space="preserve"> GBP (ISIN: </w:t>
                                  </w:r>
                                  <w:r w:rsidRPr="00DE1526">
                                    <w:rPr>
                                      <w:rFonts w:cs="Arial"/>
                                      <w:color w:val="FFFFFF"/>
                                      <w:sz w:val="22"/>
                                      <w:szCs w:val="22"/>
                                      <w:lang w:val="es"/>
                                    </w:rPr>
                                    <w:t>IE00B51ZKG48</w:t>
                                  </w:r>
                                  <w:r w:rsidR="000D6449" w:rsidRPr="000D6449">
                                    <w:rPr>
                                      <w:rFonts w:cs="Arial"/>
                                      <w:color w:val="FFFFFF"/>
                                      <w:sz w:val="22"/>
                                      <w:szCs w:val="22"/>
                                      <w:lang w:val="es"/>
                                    </w:rPr>
                                    <w:t>)</w:t>
                                  </w:r>
                                </w:p>
                              </w:tc>
                              <w:tc>
                                <w:tcPr>
                                  <w:tcW w:w="5452" w:type="dxa"/>
                                </w:tcPr>
                                <w:p w14:paraId="0D06B7D6" w14:textId="51C98FCE" w:rsidR="000D6449" w:rsidRPr="000D6449" w:rsidRDefault="000D6449" w:rsidP="00DE1526">
                                  <w:pPr>
                                    <w:spacing w:after="80" w:line="300" w:lineRule="exact"/>
                                    <w:rPr>
                                      <w:rFonts w:cs="Arial"/>
                                      <w:color w:val="FFFFFF"/>
                                      <w:sz w:val="22"/>
                                      <w:szCs w:val="22"/>
                                      <w:lang w:val="es-ES"/>
                                    </w:rPr>
                                  </w:pPr>
                                  <w:r w:rsidRPr="000D6449">
                                    <w:rPr>
                                      <w:rFonts w:cs="Arial"/>
                                      <w:color w:val="FFFFFF"/>
                                      <w:sz w:val="22"/>
                                      <w:szCs w:val="22"/>
                                      <w:lang w:val="es"/>
                                    </w:rPr>
                                    <w:t>C</w:t>
                                  </w:r>
                                  <w:r w:rsidR="00DE1526">
                                    <w:rPr>
                                      <w:rFonts w:cs="Arial"/>
                                      <w:color w:val="FFFFFF"/>
                                      <w:sz w:val="22"/>
                                      <w:szCs w:val="22"/>
                                      <w:lang w:val="es"/>
                                    </w:rPr>
                                    <w:t>lase E2</w:t>
                                  </w:r>
                                  <w:r w:rsidRPr="000D6449">
                                    <w:rPr>
                                      <w:rFonts w:cs="Arial"/>
                                      <w:color w:val="FFFFFF"/>
                                      <w:sz w:val="22"/>
                                      <w:szCs w:val="22"/>
                                      <w:lang w:val="es"/>
                                    </w:rPr>
                                    <w:t xml:space="preserve"> </w:t>
                                  </w:r>
                                  <w:proofErr w:type="spellStart"/>
                                  <w:r w:rsidRPr="000D6449">
                                    <w:rPr>
                                      <w:rFonts w:cs="Arial"/>
                                      <w:color w:val="FFFFFF"/>
                                      <w:sz w:val="22"/>
                                      <w:szCs w:val="22"/>
                                      <w:lang w:val="es"/>
                                    </w:rPr>
                                    <w:t>Acc</w:t>
                                  </w:r>
                                  <w:proofErr w:type="spellEnd"/>
                                  <w:r w:rsidRPr="000D6449">
                                    <w:rPr>
                                      <w:rFonts w:cs="Arial"/>
                                      <w:color w:val="FFFFFF"/>
                                      <w:sz w:val="22"/>
                                      <w:szCs w:val="22"/>
                                      <w:lang w:val="es"/>
                                    </w:rPr>
                                    <w:t xml:space="preserve"> </w:t>
                                  </w:r>
                                  <w:r w:rsidR="00DE1526">
                                    <w:rPr>
                                      <w:rFonts w:cs="Arial"/>
                                      <w:color w:val="FFFFFF"/>
                                      <w:sz w:val="22"/>
                                      <w:szCs w:val="22"/>
                                      <w:lang w:val="es"/>
                                    </w:rPr>
                                    <w:t>EUR</w:t>
                                  </w:r>
                                  <w:r w:rsidRPr="000D6449">
                                    <w:rPr>
                                      <w:rFonts w:cs="Arial"/>
                                      <w:color w:val="FFFFFF"/>
                                      <w:sz w:val="22"/>
                                      <w:szCs w:val="22"/>
                                      <w:lang w:val="es"/>
                                    </w:rPr>
                                    <w:t xml:space="preserve"> (ISIN: </w:t>
                                  </w:r>
                                  <w:r w:rsidR="00DE1526" w:rsidRPr="00DE1526">
                                    <w:rPr>
                                      <w:rFonts w:cs="Arial"/>
                                      <w:color w:val="FFFFFF"/>
                                      <w:sz w:val="22"/>
                                      <w:szCs w:val="22"/>
                                      <w:lang w:val="es"/>
                                    </w:rPr>
                                    <w:t>IE00B520G822</w:t>
                                  </w:r>
                                  <w:r w:rsidRPr="000D6449">
                                    <w:rPr>
                                      <w:rFonts w:cs="Arial"/>
                                      <w:color w:val="FFFFFF"/>
                                      <w:sz w:val="22"/>
                                      <w:szCs w:val="22"/>
                                      <w:lang w:val="es"/>
                                    </w:rPr>
                                    <w:t>)</w:t>
                                  </w:r>
                                </w:p>
                              </w:tc>
                            </w:tr>
                            <w:tr w:rsidR="000D6449" w:rsidRPr="00AA33B2" w14:paraId="250F892C" w14:textId="77777777" w:rsidTr="005D7124">
                              <w:trPr>
                                <w:trHeight w:val="345"/>
                                <w:jc w:val="center"/>
                              </w:trPr>
                              <w:tc>
                                <w:tcPr>
                                  <w:tcW w:w="5383" w:type="dxa"/>
                                </w:tcPr>
                                <w:p w14:paraId="7F65084C" w14:textId="54F84A68" w:rsidR="000D6449" w:rsidRPr="000D6449" w:rsidRDefault="00DE1526" w:rsidP="00DE1526">
                                  <w:pPr>
                                    <w:spacing w:after="80" w:line="300" w:lineRule="exact"/>
                                    <w:jc w:val="left"/>
                                    <w:rPr>
                                      <w:rFonts w:cs="Arial"/>
                                      <w:color w:val="FFFFFF"/>
                                      <w:sz w:val="22"/>
                                      <w:szCs w:val="22"/>
                                      <w:lang w:val="es-ES"/>
                                    </w:rPr>
                                  </w:pPr>
                                  <w:r>
                                    <w:rPr>
                                      <w:rFonts w:cs="Arial"/>
                                      <w:color w:val="FFFFFF"/>
                                      <w:sz w:val="22"/>
                                      <w:szCs w:val="22"/>
                                      <w:lang w:val="es"/>
                                    </w:rPr>
                                    <w:t>Clase E2</w:t>
                                  </w:r>
                                  <w:r w:rsidR="000D6449" w:rsidRPr="000D6449">
                                    <w:rPr>
                                      <w:rFonts w:cs="Arial"/>
                                      <w:color w:val="FFFFFF"/>
                                      <w:sz w:val="22"/>
                                      <w:szCs w:val="22"/>
                                      <w:lang w:val="es"/>
                                    </w:rPr>
                                    <w:t xml:space="preserve"> </w:t>
                                  </w:r>
                                  <w:proofErr w:type="spellStart"/>
                                  <w:r w:rsidR="000D6449" w:rsidRPr="000D6449">
                                    <w:rPr>
                                      <w:rFonts w:cs="Arial"/>
                                      <w:color w:val="FFFFFF"/>
                                      <w:sz w:val="22"/>
                                      <w:szCs w:val="22"/>
                                      <w:lang w:val="es"/>
                                    </w:rPr>
                                    <w:t>Acc</w:t>
                                  </w:r>
                                  <w:proofErr w:type="spellEnd"/>
                                  <w:r w:rsidR="000D6449" w:rsidRPr="000D6449">
                                    <w:rPr>
                                      <w:rFonts w:cs="Arial"/>
                                      <w:color w:val="FFFFFF"/>
                                      <w:sz w:val="22"/>
                                      <w:szCs w:val="22"/>
                                      <w:lang w:val="es"/>
                                    </w:rPr>
                                    <w:t xml:space="preserve"> </w:t>
                                  </w:r>
                                  <w:r>
                                    <w:rPr>
                                      <w:rFonts w:cs="Arial"/>
                                      <w:color w:val="FFFFFF"/>
                                      <w:sz w:val="22"/>
                                      <w:szCs w:val="22"/>
                                      <w:lang w:val="es"/>
                                    </w:rPr>
                                    <w:t>USD</w:t>
                                  </w:r>
                                  <w:r w:rsidR="000D6449" w:rsidRPr="000D6449">
                                    <w:rPr>
                                      <w:rFonts w:cs="Arial"/>
                                      <w:color w:val="FFFFFF"/>
                                      <w:sz w:val="22"/>
                                      <w:szCs w:val="22"/>
                                      <w:lang w:val="es"/>
                                    </w:rPr>
                                    <w:t xml:space="preserve"> (ISIN: </w:t>
                                  </w:r>
                                  <w:r w:rsidRPr="00DE1526">
                                    <w:rPr>
                                      <w:rFonts w:cs="Arial"/>
                                      <w:color w:val="FFFFFF"/>
                                      <w:sz w:val="22"/>
                                      <w:szCs w:val="22"/>
                                      <w:lang w:val="es"/>
                                    </w:rPr>
                                    <w:t>IE00B51ZK080</w:t>
                                  </w:r>
                                  <w:r w:rsidR="000D6449" w:rsidRPr="000D6449">
                                    <w:rPr>
                                      <w:rFonts w:cs="Arial"/>
                                      <w:color w:val="FFFFFF"/>
                                      <w:sz w:val="22"/>
                                      <w:szCs w:val="22"/>
                                      <w:lang w:val="es"/>
                                    </w:rPr>
                                    <w:t>)</w:t>
                                  </w:r>
                                </w:p>
                              </w:tc>
                              <w:tc>
                                <w:tcPr>
                                  <w:tcW w:w="5452" w:type="dxa"/>
                                </w:tcPr>
                                <w:p w14:paraId="61FC3F26" w14:textId="77777777" w:rsidR="000D6449" w:rsidRPr="008335CB" w:rsidRDefault="000D6449" w:rsidP="005D031A">
                                  <w:pPr>
                                    <w:spacing w:after="80" w:line="300" w:lineRule="exact"/>
                                    <w:jc w:val="center"/>
                                    <w:rPr>
                                      <w:rFonts w:cs="Arial"/>
                                      <w:color w:val="FFFFFF"/>
                                      <w:sz w:val="24"/>
                                      <w:szCs w:val="25"/>
                                      <w:lang w:val="es-ES"/>
                                    </w:rPr>
                                  </w:pPr>
                                </w:p>
                              </w:tc>
                            </w:tr>
                            <w:tr w:rsidR="000D6449" w:rsidRPr="00AA33B2" w14:paraId="4C9AD778" w14:textId="77777777" w:rsidTr="005D7124">
                              <w:trPr>
                                <w:trHeight w:val="345"/>
                                <w:jc w:val="center"/>
                              </w:trPr>
                              <w:tc>
                                <w:tcPr>
                                  <w:tcW w:w="5383" w:type="dxa"/>
                                </w:tcPr>
                                <w:p w14:paraId="6397BEF3" w14:textId="77777777" w:rsidR="000D6449" w:rsidRPr="008335CB" w:rsidRDefault="000D6449" w:rsidP="00AE6FDF">
                                  <w:pPr>
                                    <w:spacing w:after="80" w:line="300" w:lineRule="exact"/>
                                    <w:jc w:val="center"/>
                                    <w:rPr>
                                      <w:rFonts w:cs="Arial"/>
                                      <w:color w:val="FFFFFF"/>
                                      <w:sz w:val="24"/>
                                      <w:szCs w:val="25"/>
                                      <w:lang w:val="es-ES"/>
                                    </w:rPr>
                                  </w:pPr>
                                </w:p>
                              </w:tc>
                              <w:tc>
                                <w:tcPr>
                                  <w:tcW w:w="5452" w:type="dxa"/>
                                </w:tcPr>
                                <w:p w14:paraId="4F856C5C" w14:textId="77777777" w:rsidR="000D6449" w:rsidRPr="008335CB" w:rsidRDefault="000D6449" w:rsidP="005D031A">
                                  <w:pPr>
                                    <w:spacing w:after="80" w:line="300" w:lineRule="exact"/>
                                    <w:jc w:val="center"/>
                                    <w:rPr>
                                      <w:rFonts w:cs="Arial"/>
                                      <w:color w:val="FFFFFF"/>
                                      <w:sz w:val="24"/>
                                      <w:szCs w:val="25"/>
                                      <w:lang w:val="es-ES"/>
                                    </w:rPr>
                                  </w:pPr>
                                </w:p>
                              </w:tc>
                            </w:tr>
                            <w:tr w:rsidR="000D6449" w:rsidRPr="00AA33B2" w14:paraId="24D85AE6" w14:textId="77777777" w:rsidTr="005D7124">
                              <w:trPr>
                                <w:trHeight w:val="345"/>
                                <w:jc w:val="center"/>
                              </w:trPr>
                              <w:tc>
                                <w:tcPr>
                                  <w:tcW w:w="5383" w:type="dxa"/>
                                </w:tcPr>
                                <w:p w14:paraId="6B48EC76" w14:textId="77777777" w:rsidR="000D6449" w:rsidRPr="008335CB" w:rsidRDefault="000D6449" w:rsidP="00AE6FDF">
                                  <w:pPr>
                                    <w:spacing w:after="80" w:line="300" w:lineRule="exact"/>
                                    <w:jc w:val="center"/>
                                    <w:rPr>
                                      <w:rFonts w:cs="Arial"/>
                                      <w:color w:val="FFFFFF"/>
                                      <w:sz w:val="24"/>
                                      <w:szCs w:val="25"/>
                                      <w:lang w:val="es-ES"/>
                                    </w:rPr>
                                  </w:pPr>
                                </w:p>
                              </w:tc>
                              <w:tc>
                                <w:tcPr>
                                  <w:tcW w:w="5452" w:type="dxa"/>
                                </w:tcPr>
                                <w:p w14:paraId="67A44AD9" w14:textId="77777777" w:rsidR="000D6449" w:rsidRPr="008335CB" w:rsidRDefault="000D6449" w:rsidP="005D031A">
                                  <w:pPr>
                                    <w:spacing w:after="80" w:line="300" w:lineRule="exact"/>
                                    <w:jc w:val="center"/>
                                    <w:rPr>
                                      <w:rFonts w:cs="Arial"/>
                                      <w:color w:val="FFFFFF"/>
                                      <w:sz w:val="24"/>
                                      <w:szCs w:val="25"/>
                                      <w:lang w:val="es-ES"/>
                                    </w:rPr>
                                  </w:pPr>
                                </w:p>
                              </w:tc>
                            </w:tr>
                          </w:tbl>
                          <w:p w14:paraId="0F84013F" w14:textId="77777777" w:rsidR="000D6449" w:rsidRPr="008335CB" w:rsidRDefault="000D6449" w:rsidP="002C6136">
                            <w:pPr>
                              <w:widowControl/>
                              <w:autoSpaceDE w:val="0"/>
                              <w:autoSpaceDN w:val="0"/>
                              <w:adjustRightInd w:val="0"/>
                              <w:spacing w:line="240" w:lineRule="auto"/>
                              <w:jc w:val="left"/>
                              <w:rPr>
                                <w:rFonts w:cs="Arial"/>
                                <w:color w:val="FFFFFF"/>
                                <w:sz w:val="25"/>
                                <w:szCs w:val="25"/>
                                <w:lang w:val="es-ES"/>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3.5pt;width:548.5pt;height:10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" fillcolor="#006747" stroked="f">
                <v:textbox inset="3.5mm,3.3mm,3.5mm,3.3mm">
                  <w:txbxContent>
                    <w:p w14:paraId="6F176501" w14:textId="32A02B45" w:rsidR="000D6449" w:rsidRPr="00AE7351" w:rsidRDefault="000D6449" w:rsidP="005B6E23">
                      <w:pPr>
                        <w:autoSpaceDE w:val="0"/>
                        <w:autoSpaceDN w:val="0"/>
                        <w:adjustRightInd w:val="0"/>
                        <w:spacing w:after="80" w:line="240" w:lineRule="auto"/>
                        <w:jc w:val="left"/>
                        <w:rPr>
                          <w:rFonts w:cs="Arial"/>
                          <w:b/>
                          <w:bCs/>
                          <w:color w:val="FFFFFF"/>
                          <w:sz w:val="30"/>
                          <w:szCs w:val="30"/>
                        </w:rPr>
                      </w:pPr>
                      <w:r w:rsidRPr="00AE7351">
                        <w:rPr>
                          <w:rFonts w:cs="Arial"/>
                          <w:b/>
                          <w:bCs/>
                          <w:color w:val="FFFFFF"/>
                          <w:sz w:val="30"/>
                          <w:szCs w:val="30"/>
                          <w:lang w:val="es"/>
                        </w:rPr>
                        <w:t xml:space="preserve">Salar Fund (el Fondo) un </w:t>
                      </w:r>
                      <w:proofErr w:type="spellStart"/>
                      <w:r w:rsidRPr="00AE7351">
                        <w:rPr>
                          <w:rFonts w:cs="Arial"/>
                          <w:b/>
                          <w:bCs/>
                          <w:color w:val="FFFFFF"/>
                          <w:sz w:val="30"/>
                          <w:szCs w:val="30"/>
                          <w:lang w:val="es"/>
                        </w:rPr>
                        <w:t>subfondo</w:t>
                      </w:r>
                      <w:proofErr w:type="spellEnd"/>
                      <w:r w:rsidRPr="00AE7351">
                        <w:rPr>
                          <w:rFonts w:cs="Arial"/>
                          <w:b/>
                          <w:bCs/>
                          <w:color w:val="FFFFFF"/>
                          <w:sz w:val="30"/>
                          <w:szCs w:val="30"/>
                          <w:lang w:val="es"/>
                        </w:rPr>
                        <w:t xml:space="preserve"> de CQS Funds (Ireland) </w:t>
                      </w:r>
                      <w:proofErr w:type="spellStart"/>
                      <w:r w:rsidRPr="00AE7351">
                        <w:rPr>
                          <w:rFonts w:cs="Arial"/>
                          <w:b/>
                          <w:bCs/>
                          <w:color w:val="FFFFFF"/>
                          <w:sz w:val="30"/>
                          <w:szCs w:val="30"/>
                          <w:lang w:val="es"/>
                        </w:rPr>
                        <w:t>plc</w:t>
                      </w:r>
                      <w:proofErr w:type="spellEnd"/>
                      <w:r w:rsidRPr="00AE7351">
                        <w:rPr>
                          <w:rFonts w:cs="Arial"/>
                          <w:b/>
                          <w:bCs/>
                          <w:color w:val="FFFFFF"/>
                          <w:sz w:val="30"/>
                          <w:szCs w:val="30"/>
                          <w:lang w:val="es"/>
                        </w:rPr>
                        <w:t xml:space="preserve"> (la «Sociedad»).</w:t>
                      </w:r>
                      <w:r w:rsidRPr="00AE7351">
                        <w:rPr>
                          <w:rFonts w:ascii="Gill Sans MT" w:hAnsi="Gill Sans MT" w:cs="Arial"/>
                          <w:b/>
                          <w:bCs/>
                          <w:color w:val="FFFFFF"/>
                          <w:sz w:val="30"/>
                          <w:szCs w:val="30"/>
                          <w:lang w:val="es"/>
                        </w:rPr>
                        <w:t xml:space="preserve"> La Gestora es KBA </w:t>
                      </w:r>
                      <w:proofErr w:type="spellStart"/>
                      <w:r w:rsidRPr="00AE7351">
                        <w:rPr>
                          <w:rFonts w:ascii="Gill Sans MT" w:hAnsi="Gill Sans MT" w:cs="Arial"/>
                          <w:b/>
                          <w:bCs/>
                          <w:color w:val="FFFFFF"/>
                          <w:sz w:val="30"/>
                          <w:szCs w:val="30"/>
                          <w:lang w:val="es"/>
                        </w:rPr>
                        <w:t>Consulting</w:t>
                      </w:r>
                      <w:proofErr w:type="spellEnd"/>
                      <w:r w:rsidRPr="00AE7351">
                        <w:rPr>
                          <w:rFonts w:ascii="Gill Sans MT" w:hAnsi="Gill Sans MT" w:cs="Arial"/>
                          <w:b/>
                          <w:bCs/>
                          <w:color w:val="FFFFFF"/>
                          <w:sz w:val="30"/>
                          <w:szCs w:val="30"/>
                          <w:lang w:val="es"/>
                        </w:rPr>
                        <w:t xml:space="preserve"> Management </w:t>
                      </w:r>
                      <w:proofErr w:type="spellStart"/>
                      <w:r w:rsidRPr="00AE7351">
                        <w:rPr>
                          <w:rFonts w:ascii="Gill Sans MT" w:hAnsi="Gill Sans MT" w:cs="Arial"/>
                          <w:b/>
                          <w:bCs/>
                          <w:color w:val="FFFFFF"/>
                          <w:sz w:val="30"/>
                          <w:szCs w:val="30"/>
                          <w:lang w:val="es"/>
                        </w:rPr>
                        <w:t>Limited</w:t>
                      </w:r>
                      <w:proofErr w:type="spellEnd"/>
                      <w:r w:rsidRPr="00AE7351">
                        <w:rPr>
                          <w:rFonts w:ascii="Gill Sans MT" w:hAnsi="Gill Sans MT" w:cs="Arial"/>
                          <w:b/>
                          <w:bCs/>
                          <w:color w:val="FFFFFF"/>
                          <w:sz w:val="30"/>
                          <w:szCs w:val="30"/>
                          <w:lang w:val="es"/>
                        </w:rPr>
                        <w:t xml:space="preserve"> (la Gestora).</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0D6449" w:rsidRPr="00AE7351" w14:paraId="55C73248" w14:textId="77777777" w:rsidTr="005D7124">
                        <w:trPr>
                          <w:trHeight w:val="345"/>
                          <w:jc w:val="center"/>
                        </w:trPr>
                        <w:tc>
                          <w:tcPr>
                            <w:tcW w:w="5383" w:type="dxa"/>
                          </w:tcPr>
                          <w:p w14:paraId="2B664235" w14:textId="3A56454D" w:rsidR="000D6449" w:rsidRPr="000D6449" w:rsidRDefault="00DE1526" w:rsidP="00DE1526">
                            <w:pPr>
                              <w:spacing w:after="80" w:line="300" w:lineRule="exact"/>
                              <w:rPr>
                                <w:rFonts w:cs="Arial"/>
                                <w:color w:val="FFFFFF"/>
                                <w:sz w:val="22"/>
                                <w:szCs w:val="22"/>
                                <w:lang w:val="es-ES"/>
                              </w:rPr>
                            </w:pPr>
                            <w:r>
                              <w:rPr>
                                <w:rFonts w:cs="Arial"/>
                                <w:color w:val="FFFFFF"/>
                                <w:sz w:val="22"/>
                                <w:szCs w:val="22"/>
                                <w:lang w:val="es"/>
                              </w:rPr>
                              <w:t>Clase E2</w:t>
                            </w:r>
                            <w:r w:rsidR="000D6449" w:rsidRPr="000D6449">
                              <w:rPr>
                                <w:rFonts w:cs="Arial"/>
                                <w:color w:val="FFFFFF"/>
                                <w:sz w:val="22"/>
                                <w:szCs w:val="22"/>
                                <w:lang w:val="es"/>
                              </w:rPr>
                              <w:t xml:space="preserve"> </w:t>
                            </w:r>
                            <w:proofErr w:type="spellStart"/>
                            <w:r w:rsidR="000D6449" w:rsidRPr="000D6449">
                              <w:rPr>
                                <w:rFonts w:cs="Arial"/>
                                <w:color w:val="FFFFFF"/>
                                <w:sz w:val="22"/>
                                <w:szCs w:val="22"/>
                                <w:lang w:val="es"/>
                              </w:rPr>
                              <w:t>Acc</w:t>
                            </w:r>
                            <w:proofErr w:type="spellEnd"/>
                            <w:r w:rsidR="000D6449" w:rsidRPr="000D6449">
                              <w:rPr>
                                <w:rFonts w:cs="Arial"/>
                                <w:color w:val="FFFFFF"/>
                                <w:sz w:val="22"/>
                                <w:szCs w:val="22"/>
                                <w:lang w:val="es"/>
                              </w:rPr>
                              <w:t xml:space="preserve"> GBP (ISIN: </w:t>
                            </w:r>
                            <w:r w:rsidRPr="00DE1526">
                              <w:rPr>
                                <w:rFonts w:cs="Arial"/>
                                <w:color w:val="FFFFFF"/>
                                <w:sz w:val="22"/>
                                <w:szCs w:val="22"/>
                                <w:lang w:val="es"/>
                              </w:rPr>
                              <w:t>IE00B51ZKG48</w:t>
                            </w:r>
                            <w:r w:rsidR="000D6449" w:rsidRPr="000D6449">
                              <w:rPr>
                                <w:rFonts w:cs="Arial"/>
                                <w:color w:val="FFFFFF"/>
                                <w:sz w:val="22"/>
                                <w:szCs w:val="22"/>
                                <w:lang w:val="es"/>
                              </w:rPr>
                              <w:t>)</w:t>
                            </w:r>
                          </w:p>
                        </w:tc>
                        <w:tc>
                          <w:tcPr>
                            <w:tcW w:w="5452" w:type="dxa"/>
                          </w:tcPr>
                          <w:p w14:paraId="0D06B7D6" w14:textId="51C98FCE" w:rsidR="000D6449" w:rsidRPr="000D6449" w:rsidRDefault="000D6449" w:rsidP="00DE1526">
                            <w:pPr>
                              <w:spacing w:after="80" w:line="300" w:lineRule="exact"/>
                              <w:rPr>
                                <w:rFonts w:cs="Arial"/>
                                <w:color w:val="FFFFFF"/>
                                <w:sz w:val="22"/>
                                <w:szCs w:val="22"/>
                                <w:lang w:val="es-ES"/>
                              </w:rPr>
                            </w:pPr>
                            <w:r w:rsidRPr="000D6449">
                              <w:rPr>
                                <w:rFonts w:cs="Arial"/>
                                <w:color w:val="FFFFFF"/>
                                <w:sz w:val="22"/>
                                <w:szCs w:val="22"/>
                                <w:lang w:val="es"/>
                              </w:rPr>
                              <w:t>C</w:t>
                            </w:r>
                            <w:r w:rsidR="00DE1526">
                              <w:rPr>
                                <w:rFonts w:cs="Arial"/>
                                <w:color w:val="FFFFFF"/>
                                <w:sz w:val="22"/>
                                <w:szCs w:val="22"/>
                                <w:lang w:val="es"/>
                              </w:rPr>
                              <w:t>lase E2</w:t>
                            </w:r>
                            <w:r w:rsidRPr="000D6449">
                              <w:rPr>
                                <w:rFonts w:cs="Arial"/>
                                <w:color w:val="FFFFFF"/>
                                <w:sz w:val="22"/>
                                <w:szCs w:val="22"/>
                                <w:lang w:val="es"/>
                              </w:rPr>
                              <w:t xml:space="preserve"> </w:t>
                            </w:r>
                            <w:proofErr w:type="spellStart"/>
                            <w:r w:rsidRPr="000D6449">
                              <w:rPr>
                                <w:rFonts w:cs="Arial"/>
                                <w:color w:val="FFFFFF"/>
                                <w:sz w:val="22"/>
                                <w:szCs w:val="22"/>
                                <w:lang w:val="es"/>
                              </w:rPr>
                              <w:t>Acc</w:t>
                            </w:r>
                            <w:proofErr w:type="spellEnd"/>
                            <w:r w:rsidRPr="000D6449">
                              <w:rPr>
                                <w:rFonts w:cs="Arial"/>
                                <w:color w:val="FFFFFF"/>
                                <w:sz w:val="22"/>
                                <w:szCs w:val="22"/>
                                <w:lang w:val="es"/>
                              </w:rPr>
                              <w:t xml:space="preserve"> </w:t>
                            </w:r>
                            <w:r w:rsidR="00DE1526">
                              <w:rPr>
                                <w:rFonts w:cs="Arial"/>
                                <w:color w:val="FFFFFF"/>
                                <w:sz w:val="22"/>
                                <w:szCs w:val="22"/>
                                <w:lang w:val="es"/>
                              </w:rPr>
                              <w:t>EUR</w:t>
                            </w:r>
                            <w:r w:rsidRPr="000D6449">
                              <w:rPr>
                                <w:rFonts w:cs="Arial"/>
                                <w:color w:val="FFFFFF"/>
                                <w:sz w:val="22"/>
                                <w:szCs w:val="22"/>
                                <w:lang w:val="es"/>
                              </w:rPr>
                              <w:t xml:space="preserve"> (ISIN: </w:t>
                            </w:r>
                            <w:r w:rsidR="00DE1526" w:rsidRPr="00DE1526">
                              <w:rPr>
                                <w:rFonts w:cs="Arial"/>
                                <w:color w:val="FFFFFF"/>
                                <w:sz w:val="22"/>
                                <w:szCs w:val="22"/>
                                <w:lang w:val="es"/>
                              </w:rPr>
                              <w:t>IE00B520G822</w:t>
                            </w:r>
                            <w:r w:rsidRPr="000D6449">
                              <w:rPr>
                                <w:rFonts w:cs="Arial"/>
                                <w:color w:val="FFFFFF"/>
                                <w:sz w:val="22"/>
                                <w:szCs w:val="22"/>
                                <w:lang w:val="es"/>
                              </w:rPr>
                              <w:t>)</w:t>
                            </w:r>
                          </w:p>
                        </w:tc>
                      </w:tr>
                      <w:tr w:rsidR="000D6449" w:rsidRPr="00AA33B2" w14:paraId="250F892C" w14:textId="77777777" w:rsidTr="005D7124">
                        <w:trPr>
                          <w:trHeight w:val="345"/>
                          <w:jc w:val="center"/>
                        </w:trPr>
                        <w:tc>
                          <w:tcPr>
                            <w:tcW w:w="5383" w:type="dxa"/>
                          </w:tcPr>
                          <w:p w14:paraId="7F65084C" w14:textId="54F84A68" w:rsidR="000D6449" w:rsidRPr="000D6449" w:rsidRDefault="00DE1526" w:rsidP="00DE1526">
                            <w:pPr>
                              <w:spacing w:after="80" w:line="300" w:lineRule="exact"/>
                              <w:jc w:val="left"/>
                              <w:rPr>
                                <w:rFonts w:cs="Arial"/>
                                <w:color w:val="FFFFFF"/>
                                <w:sz w:val="22"/>
                                <w:szCs w:val="22"/>
                                <w:lang w:val="es-ES"/>
                              </w:rPr>
                            </w:pPr>
                            <w:r>
                              <w:rPr>
                                <w:rFonts w:cs="Arial"/>
                                <w:color w:val="FFFFFF"/>
                                <w:sz w:val="22"/>
                                <w:szCs w:val="22"/>
                                <w:lang w:val="es"/>
                              </w:rPr>
                              <w:t>Clase E2</w:t>
                            </w:r>
                            <w:r w:rsidR="000D6449" w:rsidRPr="000D6449">
                              <w:rPr>
                                <w:rFonts w:cs="Arial"/>
                                <w:color w:val="FFFFFF"/>
                                <w:sz w:val="22"/>
                                <w:szCs w:val="22"/>
                                <w:lang w:val="es"/>
                              </w:rPr>
                              <w:t xml:space="preserve"> </w:t>
                            </w:r>
                            <w:proofErr w:type="spellStart"/>
                            <w:r w:rsidR="000D6449" w:rsidRPr="000D6449">
                              <w:rPr>
                                <w:rFonts w:cs="Arial"/>
                                <w:color w:val="FFFFFF"/>
                                <w:sz w:val="22"/>
                                <w:szCs w:val="22"/>
                                <w:lang w:val="es"/>
                              </w:rPr>
                              <w:t>Acc</w:t>
                            </w:r>
                            <w:proofErr w:type="spellEnd"/>
                            <w:r w:rsidR="000D6449" w:rsidRPr="000D6449">
                              <w:rPr>
                                <w:rFonts w:cs="Arial"/>
                                <w:color w:val="FFFFFF"/>
                                <w:sz w:val="22"/>
                                <w:szCs w:val="22"/>
                                <w:lang w:val="es"/>
                              </w:rPr>
                              <w:t xml:space="preserve"> </w:t>
                            </w:r>
                            <w:r>
                              <w:rPr>
                                <w:rFonts w:cs="Arial"/>
                                <w:color w:val="FFFFFF"/>
                                <w:sz w:val="22"/>
                                <w:szCs w:val="22"/>
                                <w:lang w:val="es"/>
                              </w:rPr>
                              <w:t>USD</w:t>
                            </w:r>
                            <w:r w:rsidR="000D6449" w:rsidRPr="000D6449">
                              <w:rPr>
                                <w:rFonts w:cs="Arial"/>
                                <w:color w:val="FFFFFF"/>
                                <w:sz w:val="22"/>
                                <w:szCs w:val="22"/>
                                <w:lang w:val="es"/>
                              </w:rPr>
                              <w:t xml:space="preserve"> (ISIN: </w:t>
                            </w:r>
                            <w:r w:rsidRPr="00DE1526">
                              <w:rPr>
                                <w:rFonts w:cs="Arial"/>
                                <w:color w:val="FFFFFF"/>
                                <w:sz w:val="22"/>
                                <w:szCs w:val="22"/>
                                <w:lang w:val="es"/>
                              </w:rPr>
                              <w:t>IE00B51ZK080</w:t>
                            </w:r>
                            <w:r w:rsidR="000D6449" w:rsidRPr="000D6449">
                              <w:rPr>
                                <w:rFonts w:cs="Arial"/>
                                <w:color w:val="FFFFFF"/>
                                <w:sz w:val="22"/>
                                <w:szCs w:val="22"/>
                                <w:lang w:val="es"/>
                              </w:rPr>
                              <w:t>)</w:t>
                            </w:r>
                          </w:p>
                        </w:tc>
                        <w:tc>
                          <w:tcPr>
                            <w:tcW w:w="5452" w:type="dxa"/>
                          </w:tcPr>
                          <w:p w14:paraId="61FC3F26" w14:textId="77777777" w:rsidR="000D6449" w:rsidRPr="008335CB" w:rsidRDefault="000D6449" w:rsidP="005D031A">
                            <w:pPr>
                              <w:spacing w:after="80" w:line="300" w:lineRule="exact"/>
                              <w:jc w:val="center"/>
                              <w:rPr>
                                <w:rFonts w:cs="Arial"/>
                                <w:color w:val="FFFFFF"/>
                                <w:sz w:val="24"/>
                                <w:szCs w:val="25"/>
                                <w:lang w:val="es-ES"/>
                              </w:rPr>
                            </w:pPr>
                          </w:p>
                        </w:tc>
                      </w:tr>
                      <w:tr w:rsidR="000D6449" w:rsidRPr="00AA33B2" w14:paraId="4C9AD778" w14:textId="77777777" w:rsidTr="005D7124">
                        <w:trPr>
                          <w:trHeight w:val="345"/>
                          <w:jc w:val="center"/>
                        </w:trPr>
                        <w:tc>
                          <w:tcPr>
                            <w:tcW w:w="5383" w:type="dxa"/>
                          </w:tcPr>
                          <w:p w14:paraId="6397BEF3" w14:textId="77777777" w:rsidR="000D6449" w:rsidRPr="008335CB" w:rsidRDefault="000D6449" w:rsidP="00AE6FDF">
                            <w:pPr>
                              <w:spacing w:after="80" w:line="300" w:lineRule="exact"/>
                              <w:jc w:val="center"/>
                              <w:rPr>
                                <w:rFonts w:cs="Arial"/>
                                <w:color w:val="FFFFFF"/>
                                <w:sz w:val="24"/>
                                <w:szCs w:val="25"/>
                                <w:lang w:val="es-ES"/>
                              </w:rPr>
                            </w:pPr>
                          </w:p>
                        </w:tc>
                        <w:tc>
                          <w:tcPr>
                            <w:tcW w:w="5452" w:type="dxa"/>
                          </w:tcPr>
                          <w:p w14:paraId="4F856C5C" w14:textId="77777777" w:rsidR="000D6449" w:rsidRPr="008335CB" w:rsidRDefault="000D6449" w:rsidP="005D031A">
                            <w:pPr>
                              <w:spacing w:after="80" w:line="300" w:lineRule="exact"/>
                              <w:jc w:val="center"/>
                              <w:rPr>
                                <w:rFonts w:cs="Arial"/>
                                <w:color w:val="FFFFFF"/>
                                <w:sz w:val="24"/>
                                <w:szCs w:val="25"/>
                                <w:lang w:val="es-ES"/>
                              </w:rPr>
                            </w:pPr>
                          </w:p>
                        </w:tc>
                      </w:tr>
                      <w:tr w:rsidR="000D6449" w:rsidRPr="00AA33B2" w14:paraId="24D85AE6" w14:textId="77777777" w:rsidTr="005D7124">
                        <w:trPr>
                          <w:trHeight w:val="345"/>
                          <w:jc w:val="center"/>
                        </w:trPr>
                        <w:tc>
                          <w:tcPr>
                            <w:tcW w:w="5383" w:type="dxa"/>
                          </w:tcPr>
                          <w:p w14:paraId="6B48EC76" w14:textId="77777777" w:rsidR="000D6449" w:rsidRPr="008335CB" w:rsidRDefault="000D6449" w:rsidP="00AE6FDF">
                            <w:pPr>
                              <w:spacing w:after="80" w:line="300" w:lineRule="exact"/>
                              <w:jc w:val="center"/>
                              <w:rPr>
                                <w:rFonts w:cs="Arial"/>
                                <w:color w:val="FFFFFF"/>
                                <w:sz w:val="24"/>
                                <w:szCs w:val="25"/>
                                <w:lang w:val="es-ES"/>
                              </w:rPr>
                            </w:pPr>
                          </w:p>
                        </w:tc>
                        <w:tc>
                          <w:tcPr>
                            <w:tcW w:w="5452" w:type="dxa"/>
                          </w:tcPr>
                          <w:p w14:paraId="67A44AD9" w14:textId="77777777" w:rsidR="000D6449" w:rsidRPr="008335CB" w:rsidRDefault="000D6449" w:rsidP="005D031A">
                            <w:pPr>
                              <w:spacing w:after="80" w:line="300" w:lineRule="exact"/>
                              <w:jc w:val="center"/>
                              <w:rPr>
                                <w:rFonts w:cs="Arial"/>
                                <w:color w:val="FFFFFF"/>
                                <w:sz w:val="24"/>
                                <w:szCs w:val="25"/>
                                <w:lang w:val="es-ES"/>
                              </w:rPr>
                            </w:pPr>
                          </w:p>
                        </w:tc>
                      </w:tr>
                    </w:tbl>
                    <w:p w14:paraId="0F84013F" w14:textId="77777777" w:rsidR="000D6449" w:rsidRPr="008335CB" w:rsidRDefault="000D6449" w:rsidP="002C6136">
                      <w:pPr>
                        <w:widowControl/>
                        <w:autoSpaceDE w:val="0"/>
                        <w:autoSpaceDN w:val="0"/>
                        <w:adjustRightInd w:val="0"/>
                        <w:spacing w:line="240" w:lineRule="auto"/>
                        <w:jc w:val="left"/>
                        <w:rPr>
                          <w:rFonts w:cs="Arial"/>
                          <w:color w:val="FFFFFF"/>
                          <w:sz w:val="25"/>
                          <w:szCs w:val="25"/>
                          <w:lang w:val="es-ES"/>
                        </w:rPr>
                      </w:pPr>
                    </w:p>
                  </w:txbxContent>
                </v:textbox>
                <w10:wrap anchorx="page"/>
              </v:shape>
            </w:pict>
          </mc:Fallback>
        </mc:AlternateContent>
      </w:r>
    </w:p>
    <w:p w14:paraId="02ED85A9" w14:textId="188AD4EB" w:rsidR="005B6E23" w:rsidRDefault="0050582C">
      <w:pPr>
        <w:widowControl/>
        <w:spacing w:after="160" w:line="259" w:lineRule="auto"/>
        <w:jc w:val="left"/>
      </w:pPr>
      <w:r>
        <w:rPr>
          <w:noProof/>
          <w:lang w:val="de-DE" w:eastAsia="ja-JP"/>
        </w:rPr>
        <mc:AlternateContent>
          <mc:Choice Requires="wps">
            <w:drawing>
              <wp:anchor distT="0" distB="0" distL="114300" distR="114300" simplePos="0" relativeHeight="251664384" behindDoc="0" locked="0" layoutInCell="1" allowOverlap="1" wp14:anchorId="2B2EE4E4" wp14:editId="58D165BF">
                <wp:simplePos x="0" y="0"/>
                <wp:positionH relativeFrom="column">
                  <wp:posOffset>-666750</wp:posOffset>
                </wp:positionH>
                <wp:positionV relativeFrom="paragraph">
                  <wp:posOffset>1483360</wp:posOffset>
                </wp:positionV>
                <wp:extent cx="3437255" cy="26289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7777777" w:rsidR="000D6449" w:rsidRPr="00AE7351" w:rsidRDefault="000D6449" w:rsidP="0050582C">
                            <w:pPr>
                              <w:pStyle w:val="KIIDtext1"/>
                              <w:spacing w:after="80" w:line="230" w:lineRule="exact"/>
                              <w:rPr>
                                <w:sz w:val="17"/>
                                <w:lang w:val="es-ES"/>
                              </w:rPr>
                            </w:pPr>
                            <w:r>
                              <w:rPr>
                                <w:sz w:val="17"/>
                                <w:lang w:val="es"/>
                              </w:rPr>
                              <w:t xml:space="preserve">El Fondo pretende generar rentabilidades positivas y conservar el capital sobre todo mediante la adquisición de instrumentos de deuda que ofrecen un rendimiento, pero también el potencial de convertirlos en acciones (bonos convertibles). El Fondo </w:t>
                            </w:r>
                            <w:r w:rsidRPr="00AE7351">
                              <w:rPr>
                                <w:sz w:val="17"/>
                                <w:lang w:val="es"/>
                              </w:rPr>
                              <w:t>se gestiona de forma activa y no con relación a ningún valor de referencia.</w:t>
                            </w:r>
                          </w:p>
                          <w:p w14:paraId="21988EBD" w14:textId="04436D76" w:rsidR="000D6449" w:rsidRPr="00AE7351" w:rsidRDefault="000D6449" w:rsidP="0050582C">
                            <w:pPr>
                              <w:pStyle w:val="KIIDtext1"/>
                              <w:spacing w:after="80" w:line="230" w:lineRule="exact"/>
                              <w:rPr>
                                <w:sz w:val="17"/>
                                <w:lang w:val="es-ES"/>
                              </w:rPr>
                            </w:pPr>
                            <w:r w:rsidRPr="00AE7351">
                              <w:rPr>
                                <w:sz w:val="17"/>
                                <w:lang w:val="es"/>
                              </w:rPr>
                              <w:t>El Fondo pretende lograr una rentabilidad superior a la del SONIA.</w:t>
                            </w:r>
                          </w:p>
                          <w:p w14:paraId="74A8B516" w14:textId="77777777" w:rsidR="000D6449" w:rsidRPr="00AE7351" w:rsidRDefault="000D6449" w:rsidP="0050582C">
                            <w:pPr>
                              <w:pStyle w:val="KIIDtext1"/>
                              <w:spacing w:after="80" w:line="230" w:lineRule="exact"/>
                              <w:rPr>
                                <w:sz w:val="17"/>
                                <w:lang w:val="es-ES"/>
                              </w:rPr>
                            </w:pPr>
                            <w:r w:rsidRPr="00AE7351">
                              <w:rPr>
                                <w:sz w:val="17"/>
                                <w:lang w:val="es"/>
                              </w:rPr>
                              <w:t xml:space="preserve">La orientación del Fondo es global. El Fondo invierte en bonos, de emisores corporativos o del Estado con o sin grado de inversión de países de mercados desarrollados y emergentes. </w:t>
                            </w:r>
                          </w:p>
                          <w:p w14:paraId="10F3AC94" w14:textId="27670940" w:rsidR="000D6449" w:rsidRPr="008335CB" w:rsidRDefault="000D6449" w:rsidP="0050582C">
                            <w:pPr>
                              <w:pStyle w:val="KIIDtext1"/>
                              <w:spacing w:after="80" w:line="230" w:lineRule="exact"/>
                              <w:rPr>
                                <w:sz w:val="17"/>
                                <w:lang w:val="es-ES"/>
                              </w:rPr>
                            </w:pPr>
                            <w:r w:rsidRPr="00AE7351">
                              <w:rPr>
                                <w:sz w:val="17"/>
                                <w:lang w:val="es"/>
                              </w:rPr>
                              <w:t>El Fondo invierte sobre todo en bonos convertibles que se negocian</w:t>
                            </w:r>
                            <w:r>
                              <w:rPr>
                                <w:sz w:val="17"/>
                                <w:lang w:val="es"/>
                              </w:rPr>
                              <w:t xml:space="preserve"> próximos a su valor de renta fija. Estos bonos convertibles son menos sensibles a los cambios que experimenta el precio de las acciones y su perfil de riesgo es más similar al de los bonos, lo cual ofrece protección en caso de caída de las acciones. Si los precios suben, todavía pueden participar en la subida, ya que aumenta su similitud con las acciones. </w:t>
                            </w:r>
                          </w:p>
                          <w:p w14:paraId="6F306050" w14:textId="77777777" w:rsidR="000D6449" w:rsidRPr="008335CB" w:rsidRDefault="000D6449" w:rsidP="0050582C">
                            <w:pPr>
                              <w:pStyle w:val="KIIDtext1"/>
                              <w:spacing w:line="230" w:lineRule="exact"/>
                              <w:rPr>
                                <w:sz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8" type="#_x0000_t202" style="position:absolute;margin-left:-52.5pt;margin-top:116.8pt;width:270.6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NB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" stroked="f">
                <v:textbox>
                  <w:txbxContent>
                    <w:p w14:paraId="518CCCC5" w14:textId="77777777" w:rsidR="000D6449" w:rsidRPr="00AE7351" w:rsidRDefault="000D6449" w:rsidP="0050582C">
                      <w:pPr>
                        <w:pStyle w:val="KIIDtext1"/>
                        <w:spacing w:after="80" w:line="230" w:lineRule="exact"/>
                        <w:rPr>
                          <w:sz w:val="17"/>
                          <w:lang w:val="es-ES"/>
                        </w:rPr>
                      </w:pPr>
                      <w:r>
                        <w:rPr>
                          <w:sz w:val="17"/>
                          <w:lang w:val="es"/>
                        </w:rPr>
                        <w:t xml:space="preserve">El Fondo pretende generar rentabilidades positivas y conservar el capital sobre todo mediante la adquisición de instrumentos de deuda que ofrecen un rendimiento, pero también el potencial de convertirlos en acciones (bonos convertibles). El Fondo </w:t>
                      </w:r>
                      <w:r w:rsidRPr="00AE7351">
                        <w:rPr>
                          <w:sz w:val="17"/>
                          <w:lang w:val="es"/>
                        </w:rPr>
                        <w:t>se gestiona de forma activa y no con relación a ningún valor de referencia.</w:t>
                      </w:r>
                    </w:p>
                    <w:p w14:paraId="21988EBD" w14:textId="04436D76" w:rsidR="000D6449" w:rsidRPr="00AE7351" w:rsidRDefault="000D6449" w:rsidP="0050582C">
                      <w:pPr>
                        <w:pStyle w:val="KIIDtext1"/>
                        <w:spacing w:after="80" w:line="230" w:lineRule="exact"/>
                        <w:rPr>
                          <w:sz w:val="17"/>
                          <w:lang w:val="es-ES"/>
                        </w:rPr>
                      </w:pPr>
                      <w:r w:rsidRPr="00AE7351">
                        <w:rPr>
                          <w:sz w:val="17"/>
                          <w:lang w:val="es"/>
                        </w:rPr>
                        <w:t>El Fondo pretende lograr una rentabilidad superior a la del SONIA.</w:t>
                      </w:r>
                    </w:p>
                    <w:p w14:paraId="74A8B516" w14:textId="77777777" w:rsidR="000D6449" w:rsidRPr="00AE7351" w:rsidRDefault="000D6449" w:rsidP="0050582C">
                      <w:pPr>
                        <w:pStyle w:val="KIIDtext1"/>
                        <w:spacing w:after="80" w:line="230" w:lineRule="exact"/>
                        <w:rPr>
                          <w:sz w:val="17"/>
                          <w:lang w:val="es-ES"/>
                        </w:rPr>
                      </w:pPr>
                      <w:r w:rsidRPr="00AE7351">
                        <w:rPr>
                          <w:sz w:val="17"/>
                          <w:lang w:val="es"/>
                        </w:rPr>
                        <w:t xml:space="preserve">La orientación del Fondo es global. El Fondo invierte en bonos, de emisores corporativos o del Estado con o sin grado de inversión de países de mercados desarrollados y emergentes. </w:t>
                      </w:r>
                    </w:p>
                    <w:p w14:paraId="10F3AC94" w14:textId="27670940" w:rsidR="000D6449" w:rsidRPr="008335CB" w:rsidRDefault="000D6449" w:rsidP="0050582C">
                      <w:pPr>
                        <w:pStyle w:val="KIIDtext1"/>
                        <w:spacing w:after="80" w:line="230" w:lineRule="exact"/>
                        <w:rPr>
                          <w:sz w:val="17"/>
                          <w:lang w:val="es-ES"/>
                        </w:rPr>
                      </w:pPr>
                      <w:r w:rsidRPr="00AE7351">
                        <w:rPr>
                          <w:sz w:val="17"/>
                          <w:lang w:val="es"/>
                        </w:rPr>
                        <w:t>El Fondo invierte sobre todo en bonos convertibles que se negocian</w:t>
                      </w:r>
                      <w:r>
                        <w:rPr>
                          <w:sz w:val="17"/>
                          <w:lang w:val="es"/>
                        </w:rPr>
                        <w:t xml:space="preserve"> próximos a su valor de renta fija. Estos bonos convertibles son menos sensibles a los cambios que experimenta el precio de las acciones y su perfil de riesgo es más similar al de los bonos, lo cual ofrece protección en caso de caída de las acciones. Si los precios suben, todavía pueden participar en la subida, ya que aumenta su similitud con las acciones. </w:t>
                      </w:r>
                    </w:p>
                    <w:p w14:paraId="6F306050" w14:textId="77777777" w:rsidR="000D6449" w:rsidRPr="008335CB" w:rsidRDefault="000D6449" w:rsidP="0050582C">
                      <w:pPr>
                        <w:pStyle w:val="KIIDtext1"/>
                        <w:spacing w:line="230" w:lineRule="exact"/>
                        <w:rPr>
                          <w:sz w:val="17"/>
                          <w:lang w:val="es-ES"/>
                        </w:rPr>
                      </w:pPr>
                    </w:p>
                  </w:txbxContent>
                </v:textbox>
              </v:shape>
            </w:pict>
          </mc:Fallback>
        </mc:AlternateContent>
      </w:r>
      <w:r w:rsidR="0056321C">
        <w:rPr>
          <w:noProof/>
          <w:lang w:val="de-DE" w:eastAsia="ja-JP"/>
        </w:rPr>
        <mc:AlternateContent>
          <mc:Choice Requires="wps">
            <w:drawing>
              <wp:anchor distT="0" distB="0" distL="114300" distR="114300" simplePos="0" relativeHeight="251665408" behindDoc="0" locked="0" layoutInCell="1" allowOverlap="1" wp14:anchorId="09804B6A" wp14:editId="635C962E">
                <wp:simplePos x="0" y="0"/>
                <wp:positionH relativeFrom="column">
                  <wp:posOffset>2733675</wp:posOffset>
                </wp:positionH>
                <wp:positionV relativeFrom="paragraph">
                  <wp:posOffset>1359536</wp:posOffset>
                </wp:positionV>
                <wp:extent cx="3650615" cy="2609850"/>
                <wp:effectExtent l="0" t="0" r="698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60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5C154B41" w:rsidR="000D6449" w:rsidRPr="0056321C" w:rsidRDefault="000D6449" w:rsidP="0056321C">
                            <w:pPr>
                              <w:pStyle w:val="KIIDtext1"/>
                              <w:spacing w:after="80" w:line="230" w:lineRule="exact"/>
                              <w:rPr>
                                <w:rFonts w:cs="Arial"/>
                                <w:sz w:val="17"/>
                                <w:szCs w:val="17"/>
                                <w:lang w:val="es-ES"/>
                              </w:rPr>
                            </w:pPr>
                            <w:r w:rsidRPr="0056321C">
                              <w:rPr>
                                <w:rFonts w:cs="Arial"/>
                                <w:sz w:val="17"/>
                                <w:szCs w:val="17"/>
                                <w:lang w:val="es"/>
                              </w:rPr>
                              <w:t xml:space="preserve">Los ingresos tras deducir gastos que obtenga el Fondo no se distribuirán a los inversores, sino que en su lugar se acumularán en el valor liquidativo de la acción del Fondo. </w:t>
                            </w:r>
                          </w:p>
                          <w:p w14:paraId="7B0ED08D" w14:textId="34D8A154" w:rsidR="000D6449" w:rsidRPr="0056321C" w:rsidRDefault="000D6449" w:rsidP="0056321C">
                            <w:pPr>
                              <w:pStyle w:val="KIIDtext1"/>
                              <w:spacing w:after="80" w:line="230" w:lineRule="exact"/>
                              <w:rPr>
                                <w:rFonts w:cs="Arial"/>
                                <w:sz w:val="17"/>
                                <w:szCs w:val="17"/>
                                <w:lang w:val="es-ES"/>
                              </w:rPr>
                            </w:pPr>
                            <w:r w:rsidRPr="0056321C">
                              <w:rPr>
                                <w:rFonts w:cs="Arial"/>
                                <w:sz w:val="17"/>
                                <w:szCs w:val="17"/>
                                <w:lang w:val="es"/>
                              </w:rPr>
                              <w:t>El valor del Fondo se calcula y publica a diario y los inversores pueden comprar o vender acciones en cualquier día en el que los bancos de Dublín y Londres abran para el desarrollo de su actividad.</w:t>
                            </w:r>
                          </w:p>
                          <w:p w14:paraId="6FDEAC5F" w14:textId="49682277" w:rsidR="000D6449" w:rsidRPr="0056321C" w:rsidRDefault="000D6449" w:rsidP="0056321C">
                            <w:pPr>
                              <w:pStyle w:val="KIIDtext1"/>
                              <w:spacing w:after="80" w:line="230" w:lineRule="exact"/>
                              <w:rPr>
                                <w:rFonts w:cs="Arial"/>
                                <w:bCs/>
                                <w:sz w:val="17"/>
                                <w:szCs w:val="17"/>
                                <w:lang w:val="es-ES"/>
                              </w:rPr>
                            </w:pPr>
                            <w:r w:rsidRPr="0056321C">
                              <w:rPr>
                                <w:rFonts w:cs="Arial"/>
                                <w:sz w:val="17"/>
                                <w:szCs w:val="17"/>
                                <w:lang w:val="es"/>
                              </w:rPr>
                              <w:t>El Fondo podrá emplear renta variable para reducir el riesgo y gestionar el Fondo con mayor eficacia, aunque no está obligado a hacerlo.</w:t>
                            </w:r>
                          </w:p>
                          <w:p w14:paraId="4C879E0A" w14:textId="49DC1E7A" w:rsidR="000D6449" w:rsidRPr="0056321C" w:rsidRDefault="000D6449" w:rsidP="0056321C">
                            <w:pPr>
                              <w:pStyle w:val="KIIDtext1"/>
                              <w:spacing w:after="80" w:line="230" w:lineRule="exact"/>
                              <w:rPr>
                                <w:rFonts w:cs="Arial"/>
                                <w:bCs/>
                                <w:sz w:val="17"/>
                                <w:szCs w:val="17"/>
                                <w:lang w:val="es-ES"/>
                              </w:rPr>
                            </w:pPr>
                            <w:r w:rsidRPr="0056321C">
                              <w:rPr>
                                <w:sz w:val="17"/>
                                <w:szCs w:val="17"/>
                                <w:lang w:val="es"/>
                              </w:rPr>
                              <w:t xml:space="preserve">Pueden emplearse </w:t>
                            </w:r>
                            <w:r w:rsidRPr="0056321C">
                              <w:rPr>
                                <w:rFonts w:cs="Arial"/>
                                <w:sz w:val="17"/>
                                <w:szCs w:val="17"/>
                                <w:lang w:val="es"/>
                              </w:rPr>
                              <w:t xml:space="preserve">instrumentos derivados financieros (derivados) para lograr el objetivo de inversión y reducir el riesgo o gestionar el Fondo más eficazmente. Esto puede incluir, entre otros, el uso de derivados para establecer una posición corta en renta variable a fin de reducir el riesgo la renta variable para los bonos convertibles en largo. </w:t>
                            </w:r>
                          </w:p>
                          <w:p w14:paraId="09C6C445" w14:textId="4D67054E" w:rsidR="000D6449" w:rsidRPr="008335CB" w:rsidRDefault="000D6449" w:rsidP="0056321C">
                            <w:pPr>
                              <w:pStyle w:val="KIIDtext1"/>
                              <w:spacing w:after="80" w:line="230" w:lineRule="exact"/>
                              <w:rPr>
                                <w:rFonts w:cs="Arial"/>
                                <w:b/>
                                <w:bCs/>
                                <w:sz w:val="17"/>
                                <w:lang w:val="es-ES"/>
                              </w:rPr>
                            </w:pPr>
                            <w:r w:rsidRPr="0056321C">
                              <w:rPr>
                                <w:rFonts w:cs="Arial"/>
                                <w:sz w:val="17"/>
                                <w:szCs w:val="17"/>
                                <w:lang w:val="es"/>
                              </w:rPr>
                              <w:t>Para obtener información completa sobre el objetivo y la política de inversión, así como</w:t>
                            </w:r>
                            <w:r>
                              <w:rPr>
                                <w:rFonts w:cs="Arial"/>
                                <w:sz w:val="17"/>
                                <w:lang w:val="es"/>
                              </w:rPr>
                              <w:t xml:space="preserve"> sobre las políticas de suscripción y reembolso, remítase al Folleto.</w:t>
                            </w:r>
                          </w:p>
                          <w:p w14:paraId="356E3144" w14:textId="69A05DF9" w:rsidR="000D6449" w:rsidRPr="008335CB" w:rsidRDefault="000D6449" w:rsidP="0056321C">
                            <w:pPr>
                              <w:pStyle w:val="KIIDtext1"/>
                              <w:spacing w:after="80" w:line="230" w:lineRule="exact"/>
                              <w:rPr>
                                <w:rFonts w:cs="Arial"/>
                                <w:sz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9" type="#_x0000_t202" style="position:absolute;margin-left:215.25pt;margin-top:107.05pt;width:287.45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cViAIAABg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" stroked="f">
                <v:textbox>
                  <w:txbxContent>
                    <w:p w14:paraId="75B1DBBE" w14:textId="5C154B41" w:rsidR="000D6449" w:rsidRPr="0056321C" w:rsidRDefault="000D6449" w:rsidP="0056321C">
                      <w:pPr>
                        <w:pStyle w:val="KIIDtext1"/>
                        <w:spacing w:after="80" w:line="230" w:lineRule="exact"/>
                        <w:rPr>
                          <w:rFonts w:cs="Arial"/>
                          <w:sz w:val="17"/>
                          <w:szCs w:val="17"/>
                          <w:lang w:val="es-ES"/>
                        </w:rPr>
                      </w:pPr>
                      <w:r w:rsidRPr="0056321C">
                        <w:rPr>
                          <w:rFonts w:cs="Arial"/>
                          <w:sz w:val="17"/>
                          <w:szCs w:val="17"/>
                          <w:lang w:val="es"/>
                        </w:rPr>
                        <w:t xml:space="preserve">Los ingresos tras deducir gastos que obtenga el Fondo no se distribuirán a los inversores, sino que en su lugar se acumularán en el valor liquidativo de la acción del Fondo. </w:t>
                      </w:r>
                    </w:p>
                    <w:p w14:paraId="7B0ED08D" w14:textId="34D8A154" w:rsidR="000D6449" w:rsidRPr="0056321C" w:rsidRDefault="000D6449" w:rsidP="0056321C">
                      <w:pPr>
                        <w:pStyle w:val="KIIDtext1"/>
                        <w:spacing w:after="80" w:line="230" w:lineRule="exact"/>
                        <w:rPr>
                          <w:rFonts w:cs="Arial"/>
                          <w:sz w:val="17"/>
                          <w:szCs w:val="17"/>
                          <w:lang w:val="es-ES"/>
                        </w:rPr>
                      </w:pPr>
                      <w:r w:rsidRPr="0056321C">
                        <w:rPr>
                          <w:rFonts w:cs="Arial"/>
                          <w:sz w:val="17"/>
                          <w:szCs w:val="17"/>
                          <w:lang w:val="es"/>
                        </w:rPr>
                        <w:t>El valor del Fondo se calcula y publica a diario y los inversores pueden comprar o vender acciones en cualquier día en el que los bancos de Dublín y Londres abran para el desarrollo de su actividad.</w:t>
                      </w:r>
                    </w:p>
                    <w:p w14:paraId="6FDEAC5F" w14:textId="49682277" w:rsidR="000D6449" w:rsidRPr="0056321C" w:rsidRDefault="000D6449" w:rsidP="0056321C">
                      <w:pPr>
                        <w:pStyle w:val="KIIDtext1"/>
                        <w:spacing w:after="80" w:line="230" w:lineRule="exact"/>
                        <w:rPr>
                          <w:rFonts w:cs="Arial"/>
                          <w:bCs/>
                          <w:sz w:val="17"/>
                          <w:szCs w:val="17"/>
                          <w:lang w:val="es-ES"/>
                        </w:rPr>
                      </w:pPr>
                      <w:r w:rsidRPr="0056321C">
                        <w:rPr>
                          <w:rFonts w:cs="Arial"/>
                          <w:sz w:val="17"/>
                          <w:szCs w:val="17"/>
                          <w:lang w:val="es"/>
                        </w:rPr>
                        <w:t>El Fondo podrá emplear renta variable para reducir el riesgo y gestionar el Fondo con mayor eficacia, aunque no está obligado a hacerlo.</w:t>
                      </w:r>
                    </w:p>
                    <w:p w14:paraId="4C879E0A" w14:textId="49DC1E7A" w:rsidR="000D6449" w:rsidRPr="0056321C" w:rsidRDefault="000D6449" w:rsidP="0056321C">
                      <w:pPr>
                        <w:pStyle w:val="KIIDtext1"/>
                        <w:spacing w:after="80" w:line="230" w:lineRule="exact"/>
                        <w:rPr>
                          <w:rFonts w:cs="Arial"/>
                          <w:bCs/>
                          <w:sz w:val="17"/>
                          <w:szCs w:val="17"/>
                          <w:lang w:val="es-ES"/>
                        </w:rPr>
                      </w:pPr>
                      <w:r w:rsidRPr="0056321C">
                        <w:rPr>
                          <w:sz w:val="17"/>
                          <w:szCs w:val="17"/>
                          <w:lang w:val="es"/>
                        </w:rPr>
                        <w:t xml:space="preserve">Pueden emplearse </w:t>
                      </w:r>
                      <w:r w:rsidRPr="0056321C">
                        <w:rPr>
                          <w:rFonts w:cs="Arial"/>
                          <w:sz w:val="17"/>
                          <w:szCs w:val="17"/>
                          <w:lang w:val="es"/>
                        </w:rPr>
                        <w:t xml:space="preserve">instrumentos derivados financieros (derivados) para lograr el objetivo de inversión y reducir el riesgo o gestionar el Fondo más eficazmente. Esto puede incluir, entre otros, el uso de derivados para establecer una posición corta en renta variable a fin de reducir el riesgo la renta variable para los bonos convertibles en largo. </w:t>
                      </w:r>
                    </w:p>
                    <w:p w14:paraId="09C6C445" w14:textId="4D67054E" w:rsidR="000D6449" w:rsidRPr="008335CB" w:rsidRDefault="000D6449" w:rsidP="0056321C">
                      <w:pPr>
                        <w:pStyle w:val="KIIDtext1"/>
                        <w:spacing w:after="80" w:line="230" w:lineRule="exact"/>
                        <w:rPr>
                          <w:rFonts w:cs="Arial"/>
                          <w:b/>
                          <w:bCs/>
                          <w:sz w:val="17"/>
                          <w:lang w:val="es-ES"/>
                        </w:rPr>
                      </w:pPr>
                      <w:r w:rsidRPr="0056321C">
                        <w:rPr>
                          <w:rFonts w:cs="Arial"/>
                          <w:sz w:val="17"/>
                          <w:szCs w:val="17"/>
                          <w:lang w:val="es"/>
                        </w:rPr>
                        <w:t>Para obtener información completa sobre el objetivo y la política de inversión, así como</w:t>
                      </w:r>
                      <w:r>
                        <w:rPr>
                          <w:rFonts w:cs="Arial"/>
                          <w:sz w:val="17"/>
                          <w:lang w:val="es"/>
                        </w:rPr>
                        <w:t xml:space="preserve"> sobre las políticas de suscripción y reembolso, remítase al Folleto.</w:t>
                      </w:r>
                    </w:p>
                    <w:p w14:paraId="356E3144" w14:textId="69A05DF9" w:rsidR="000D6449" w:rsidRPr="008335CB" w:rsidRDefault="000D6449" w:rsidP="0056321C">
                      <w:pPr>
                        <w:pStyle w:val="KIIDtext1"/>
                        <w:spacing w:after="80" w:line="230" w:lineRule="exact"/>
                        <w:rPr>
                          <w:rFonts w:cs="Arial"/>
                          <w:sz w:val="17"/>
                          <w:lang w:val="es-ES"/>
                        </w:rPr>
                      </w:pPr>
                    </w:p>
                  </w:txbxContent>
                </v:textbox>
              </v:shape>
            </w:pict>
          </mc:Fallback>
        </mc:AlternateContent>
      </w:r>
      <w:r w:rsidR="003B71E8">
        <w:rPr>
          <w:noProof/>
          <w:lang w:val="de-DE" w:eastAsia="ja-JP"/>
        </w:rPr>
        <mc:AlternateContent>
          <mc:Choice Requires="wps">
            <w:drawing>
              <wp:anchor distT="0" distB="0" distL="114300" distR="114300" simplePos="0" relativeHeight="251711488" behindDoc="0" locked="0" layoutInCell="1" allowOverlap="1" wp14:anchorId="00B1B62C" wp14:editId="05141342">
                <wp:simplePos x="0" y="0"/>
                <wp:positionH relativeFrom="column">
                  <wp:posOffset>-714375</wp:posOffset>
                </wp:positionH>
                <wp:positionV relativeFrom="paragraph">
                  <wp:posOffset>4464685</wp:posOffset>
                </wp:positionV>
                <wp:extent cx="3257550" cy="1009650"/>
                <wp:effectExtent l="0" t="0" r="19050" b="19050"/>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00965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0D6449" w:rsidRDefault="000D6449"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0" style="position:absolute;margin-left:-56.25pt;margin-top:351.55pt;width:256.5pt;height:7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" filled="f" strokecolor="#006747">
                <v:textbox>
                  <w:txbxContent>
                    <w:p w14:paraId="761AD6B8" w14:textId="77777777" w:rsidR="000D6449" w:rsidRDefault="000D6449" w:rsidP="005B6E23"/>
                  </w:txbxContent>
                </v:textbox>
              </v:rect>
            </w:pict>
          </mc:Fallback>
        </mc:AlternateContent>
      </w:r>
      <w:r w:rsidR="00963093">
        <w:rPr>
          <w:noProof/>
          <w:lang w:val="de-DE" w:eastAsia="ja-JP"/>
        </w:rPr>
        <mc:AlternateContent>
          <mc:Choice Requires="wps">
            <w:drawing>
              <wp:anchor distT="0" distB="0" distL="114300" distR="114300" simplePos="0" relativeHeight="251656189" behindDoc="0" locked="0" layoutInCell="1" allowOverlap="1" wp14:anchorId="54F53EE3" wp14:editId="33BAAECC">
                <wp:simplePos x="0" y="0"/>
                <wp:positionH relativeFrom="column">
                  <wp:posOffset>-790575</wp:posOffset>
                </wp:positionH>
                <wp:positionV relativeFrom="paragraph">
                  <wp:posOffset>4417060</wp:posOffset>
                </wp:positionV>
                <wp:extent cx="3648075" cy="4733925"/>
                <wp:effectExtent l="0" t="0" r="952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73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0D6449" w:rsidRPr="00543AB0" w14:paraId="0AFB0406" w14:textId="77777777" w:rsidTr="001E5340">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E44BF5" w:rsidRPr="006F31C1" w14:paraId="262DD0F9" w14:textId="77777777" w:rsidTr="003B71E8">
                                    <w:trPr>
                                      <w:trHeight w:val="168"/>
                                    </w:trPr>
                                    <w:tc>
                                      <w:tcPr>
                                        <w:tcW w:w="1398" w:type="dxa"/>
                                        <w:gridSpan w:val="3"/>
                                        <w:tcBorders>
                                          <w:top w:val="nil"/>
                                          <w:left w:val="nil"/>
                                          <w:bottom w:val="nil"/>
                                          <w:right w:val="nil"/>
                                        </w:tcBorders>
                                        <w:shd w:val="clear" w:color="auto" w:fill="auto"/>
                                        <w:vAlign w:val="bottom"/>
                                      </w:tcPr>
                                      <w:p w14:paraId="2184AA1D" w14:textId="77777777" w:rsidR="00E44BF5" w:rsidRPr="006F31C1" w:rsidRDefault="00E44BF5" w:rsidP="00E44BF5">
                                        <w:pPr>
                                          <w:autoSpaceDE w:val="0"/>
                                          <w:autoSpaceDN w:val="0"/>
                                          <w:adjustRightInd w:val="0"/>
                                          <w:ind w:left="96"/>
                                          <w:jc w:val="left"/>
                                          <w:rPr>
                                            <w:rFonts w:cs="Arial"/>
                                            <w:b/>
                                            <w:i/>
                                            <w:color w:val="006747"/>
                                            <w:sz w:val="16"/>
                                            <w:szCs w:val="16"/>
                                          </w:rPr>
                                        </w:pPr>
                                        <w:r>
                                          <w:rPr>
                                            <w:rFonts w:cs="Arial"/>
                                            <w:b/>
                                            <w:bCs/>
                                            <w:i/>
                                            <w:iCs/>
                                            <w:color w:val="006747"/>
                                            <w:sz w:val="16"/>
                                            <w:szCs w:val="16"/>
                                            <w:lang w:val="es"/>
                                          </w:rPr>
                                          <w:t>Menor riesgo</w:t>
                                        </w:r>
                                      </w:p>
                                    </w:tc>
                                    <w:tc>
                                      <w:tcPr>
                                        <w:tcW w:w="23" w:type="dxa"/>
                                        <w:tcBorders>
                                          <w:top w:val="nil"/>
                                          <w:left w:val="nil"/>
                                          <w:bottom w:val="nil"/>
                                          <w:right w:val="nil"/>
                                        </w:tcBorders>
                                        <w:shd w:val="clear" w:color="auto" w:fill="auto"/>
                                        <w:vAlign w:val="bottom"/>
                                      </w:tcPr>
                                      <w:p w14:paraId="797EDF04" w14:textId="77777777" w:rsidR="00E44BF5" w:rsidRPr="006F31C1" w:rsidRDefault="00E44BF5" w:rsidP="001E5340">
                                        <w:pPr>
                                          <w:autoSpaceDE w:val="0"/>
                                          <w:autoSpaceDN w:val="0"/>
                                          <w:adjustRightInd w:val="0"/>
                                          <w:jc w:val="center"/>
                                          <w:rPr>
                                            <w:rFonts w:cs="Arial"/>
                                            <w:b/>
                                            <w:i/>
                                            <w:color w:val="8C8984"/>
                                            <w:sz w:val="16"/>
                                            <w:szCs w:val="16"/>
                                          </w:rPr>
                                        </w:pPr>
                                      </w:p>
                                    </w:tc>
                                    <w:tc>
                                      <w:tcPr>
                                        <w:tcW w:w="699" w:type="dxa"/>
                                        <w:tcBorders>
                                          <w:top w:val="nil"/>
                                          <w:left w:val="nil"/>
                                          <w:bottom w:val="nil"/>
                                          <w:right w:val="nil"/>
                                        </w:tcBorders>
                                        <w:shd w:val="clear" w:color="auto" w:fill="auto"/>
                                        <w:vAlign w:val="bottom"/>
                                      </w:tcPr>
                                      <w:p w14:paraId="133E9D68" w14:textId="77777777" w:rsidR="00E44BF5" w:rsidRPr="006F31C1" w:rsidRDefault="00E44BF5"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6429697C" w14:textId="77777777" w:rsidR="00E44BF5" w:rsidRPr="006F31C1" w:rsidRDefault="00E44BF5"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23C0978F" w14:textId="77777777" w:rsidR="00E44BF5" w:rsidRPr="006F31C1" w:rsidRDefault="00E44BF5" w:rsidP="001E5340">
                                        <w:pPr>
                                          <w:autoSpaceDE w:val="0"/>
                                          <w:autoSpaceDN w:val="0"/>
                                          <w:adjustRightInd w:val="0"/>
                                          <w:jc w:val="center"/>
                                          <w:rPr>
                                            <w:rFonts w:cs="Arial"/>
                                            <w:i/>
                                            <w:color w:val="8C8984"/>
                                            <w:sz w:val="16"/>
                                            <w:szCs w:val="16"/>
                                          </w:rPr>
                                        </w:pPr>
                                      </w:p>
                                    </w:tc>
                                    <w:tc>
                                      <w:tcPr>
                                        <w:tcW w:w="1398" w:type="dxa"/>
                                        <w:gridSpan w:val="2"/>
                                        <w:tcBorders>
                                          <w:top w:val="nil"/>
                                          <w:left w:val="nil"/>
                                          <w:bottom w:val="nil"/>
                                          <w:right w:val="nil"/>
                                        </w:tcBorders>
                                        <w:shd w:val="clear" w:color="auto" w:fill="auto"/>
                                        <w:vAlign w:val="bottom"/>
                                      </w:tcPr>
                                      <w:p w14:paraId="760E85BE" w14:textId="77777777" w:rsidR="00E44BF5" w:rsidRPr="006F31C1" w:rsidRDefault="00E44BF5" w:rsidP="001E5340">
                                        <w:pPr>
                                          <w:autoSpaceDE w:val="0"/>
                                          <w:autoSpaceDN w:val="0"/>
                                          <w:adjustRightInd w:val="0"/>
                                          <w:jc w:val="center"/>
                                          <w:rPr>
                                            <w:rFonts w:cs="Arial"/>
                                            <w:b/>
                                            <w:i/>
                                            <w:color w:val="006747"/>
                                            <w:sz w:val="16"/>
                                            <w:szCs w:val="16"/>
                                          </w:rPr>
                                        </w:pPr>
                                        <w:r>
                                          <w:rPr>
                                            <w:rFonts w:cs="Arial"/>
                                            <w:b/>
                                            <w:bCs/>
                                            <w:i/>
                                            <w:iCs/>
                                            <w:color w:val="006747"/>
                                            <w:sz w:val="16"/>
                                            <w:szCs w:val="16"/>
                                            <w:lang w:val="es"/>
                                          </w:rPr>
                                          <w:t>Mayor riesgo</w:t>
                                        </w:r>
                                      </w:p>
                                    </w:tc>
                                  </w:tr>
                                  <w:tr w:rsidR="000D6449" w:rsidRPr="006F31C1" w14:paraId="7E4321A5" w14:textId="77777777" w:rsidTr="003B71E8">
                                    <w:trPr>
                                      <w:trHeight w:val="20"/>
                                    </w:trPr>
                                    <w:tc>
                                      <w:tcPr>
                                        <w:tcW w:w="2120" w:type="dxa"/>
                                        <w:gridSpan w:val="5"/>
                                        <w:tcBorders>
                                          <w:top w:val="nil"/>
                                          <w:left w:val="nil"/>
                                          <w:bottom w:val="nil"/>
                                          <w:right w:val="nil"/>
                                        </w:tcBorders>
                                        <w:shd w:val="clear" w:color="auto" w:fill="auto"/>
                                        <w:vAlign w:val="bottom"/>
                                      </w:tcPr>
                                      <w:p w14:paraId="661F4071" w14:textId="77777777" w:rsidR="000D6449" w:rsidRPr="006F31C1" w:rsidRDefault="000D6449" w:rsidP="00E44BF5">
                                        <w:pPr>
                                          <w:autoSpaceDE w:val="0"/>
                                          <w:autoSpaceDN w:val="0"/>
                                          <w:adjustRightInd w:val="0"/>
                                          <w:spacing w:line="228" w:lineRule="auto"/>
                                          <w:ind w:left="96"/>
                                          <w:jc w:val="left"/>
                                          <w:rPr>
                                            <w:rFonts w:cs="Arial"/>
                                            <w:i/>
                                            <w:color w:val="8C8984"/>
                                            <w:sz w:val="16"/>
                                            <w:szCs w:val="16"/>
                                          </w:rPr>
                                        </w:pPr>
                                        <w:r>
                                          <w:rPr>
                                            <w:rFonts w:cs="Arial"/>
                                            <w:b/>
                                            <w:bCs/>
                                            <w:i/>
                                            <w:iCs/>
                                            <w:color w:val="006747"/>
                                            <w:sz w:val="16"/>
                                            <w:szCs w:val="16"/>
                                            <w:lang w:val="es"/>
                                          </w:rPr>
                                          <w:t>Normalmente menor remuneración</w:t>
                                        </w:r>
                                      </w:p>
                                    </w:tc>
                                    <w:tc>
                                      <w:tcPr>
                                        <w:tcW w:w="699" w:type="dxa"/>
                                        <w:tcBorders>
                                          <w:top w:val="nil"/>
                                          <w:left w:val="nil"/>
                                          <w:bottom w:val="nil"/>
                                          <w:right w:val="nil"/>
                                        </w:tcBorders>
                                        <w:shd w:val="clear" w:color="auto" w:fill="auto"/>
                                        <w:vAlign w:val="bottom"/>
                                      </w:tcPr>
                                      <w:p w14:paraId="57F81ADF" w14:textId="77777777" w:rsidR="000D6449" w:rsidRPr="006F31C1" w:rsidRDefault="000D6449" w:rsidP="001E5340">
                                        <w:pPr>
                                          <w:autoSpaceDE w:val="0"/>
                                          <w:autoSpaceDN w:val="0"/>
                                          <w:adjustRightInd w:val="0"/>
                                          <w:jc w:val="center"/>
                                          <w:rPr>
                                            <w:rFonts w:cs="Arial"/>
                                            <w:i/>
                                            <w:color w:val="8C8984"/>
                                            <w:sz w:val="16"/>
                                            <w:szCs w:val="16"/>
                                          </w:rPr>
                                        </w:pPr>
                                      </w:p>
                                    </w:tc>
                                    <w:tc>
                                      <w:tcPr>
                                        <w:tcW w:w="2097" w:type="dxa"/>
                                        <w:gridSpan w:val="3"/>
                                        <w:tcBorders>
                                          <w:top w:val="nil"/>
                                          <w:left w:val="nil"/>
                                          <w:bottom w:val="nil"/>
                                          <w:right w:val="nil"/>
                                        </w:tcBorders>
                                        <w:shd w:val="clear" w:color="auto" w:fill="auto"/>
                                        <w:vAlign w:val="bottom"/>
                                      </w:tcPr>
                                      <w:p w14:paraId="642BC576" w14:textId="77777777" w:rsidR="000D6449" w:rsidRPr="006F31C1" w:rsidRDefault="000D6449" w:rsidP="00E44BF5">
                                        <w:pPr>
                                          <w:autoSpaceDE w:val="0"/>
                                          <w:autoSpaceDN w:val="0"/>
                                          <w:adjustRightInd w:val="0"/>
                                          <w:spacing w:line="228" w:lineRule="auto"/>
                                          <w:jc w:val="right"/>
                                          <w:rPr>
                                            <w:rFonts w:cs="Arial"/>
                                            <w:b/>
                                            <w:i/>
                                            <w:color w:val="006747"/>
                                            <w:sz w:val="16"/>
                                            <w:szCs w:val="16"/>
                                          </w:rPr>
                                        </w:pPr>
                                        <w:r>
                                          <w:rPr>
                                            <w:rFonts w:cs="Arial"/>
                                            <w:b/>
                                            <w:bCs/>
                                            <w:i/>
                                            <w:iCs/>
                                            <w:color w:val="006747"/>
                                            <w:sz w:val="16"/>
                                            <w:szCs w:val="16"/>
                                            <w:lang w:val="es"/>
                                          </w:rPr>
                                          <w:t>Normalmente mayor remuneración</w:t>
                                        </w:r>
                                      </w:p>
                                    </w:tc>
                                  </w:tr>
                                  <w:tr w:rsidR="000D6449" w:rsidRPr="006F31C1" w14:paraId="1BFF7AA0" w14:textId="77777777" w:rsidTr="00E44BF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0D6449" w:rsidRPr="006F31C1" w:rsidRDefault="000D6449" w:rsidP="001E5340">
                                        <w:pPr>
                                          <w:autoSpaceDE w:val="0"/>
                                          <w:autoSpaceDN w:val="0"/>
                                          <w:adjustRightInd w:val="0"/>
                                          <w:spacing w:before="80" w:after="60"/>
                                          <w:jc w:val="center"/>
                                          <w:rPr>
                                            <w:rFonts w:cs="Arial"/>
                                            <w:b/>
                                            <w:color w:val="FFFFFF"/>
                                            <w:szCs w:val="16"/>
                                          </w:rPr>
                                        </w:pPr>
                                        <w:r>
                                          <w:rPr>
                                            <w:rFonts w:cs="Arial"/>
                                            <w:b/>
                                            <w:bCs/>
                                            <w:color w:val="FFFFFF"/>
                                            <w:szCs w:val="16"/>
                                            <w:lang w:val="es"/>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7</w:t>
                                        </w:r>
                                      </w:p>
                                    </w:tc>
                                  </w:tr>
                                </w:tbl>
                                <w:p w14:paraId="331014CE" w14:textId="77777777" w:rsidR="000D6449" w:rsidRPr="00543AB0" w:rsidRDefault="000D6449" w:rsidP="001E5340">
                                  <w:pPr>
                                    <w:tabs>
                                      <w:tab w:val="left" w:pos="2268"/>
                                    </w:tabs>
                                    <w:autoSpaceDE w:val="0"/>
                                    <w:autoSpaceDN w:val="0"/>
                                    <w:adjustRightInd w:val="0"/>
                                    <w:spacing w:before="80" w:after="60"/>
                                    <w:rPr>
                                      <w:rFonts w:ascii="Gill Sans MT" w:hAnsi="Gill Sans MT"/>
                                      <w:color w:val="FFFFFF"/>
                                      <w:sz w:val="16"/>
                                      <w:szCs w:val="16"/>
                                    </w:rPr>
                                  </w:pPr>
                                </w:p>
                              </w:tc>
                            </w:tr>
                          </w:tbl>
                          <w:p w14:paraId="21D7440D" w14:textId="7B8A03FC" w:rsidR="000D6449" w:rsidRPr="008335CB" w:rsidRDefault="000D6449" w:rsidP="00963093">
                            <w:pPr>
                              <w:pStyle w:val="KIIDtext1"/>
                              <w:spacing w:before="120"/>
                              <w:rPr>
                                <w:sz w:val="16"/>
                                <w:szCs w:val="16"/>
                                <w:lang w:val="es-ES"/>
                              </w:rPr>
                            </w:pPr>
                            <w:r w:rsidRPr="008335CB">
                              <w:rPr>
                                <w:sz w:val="16"/>
                                <w:szCs w:val="16"/>
                                <w:lang w:val="es"/>
                              </w:rPr>
                              <w:t xml:space="preserve">A los efectos de esta tabla, el Fondo se ha asignado a la </w:t>
                            </w:r>
                            <w:r w:rsidRPr="00AE7351">
                              <w:rPr>
                                <w:sz w:val="16"/>
                                <w:szCs w:val="16"/>
                                <w:lang w:val="es"/>
                              </w:rPr>
                              <w:t>categoría 4 debido a sus inversiones en bonos convertibles y al uso de derivados. Esto significa que el riesgo del Fondo es normalmente mayor que el de los instrumentos de renta fija, pero menor que el de los de renta variable.</w:t>
                            </w:r>
                          </w:p>
                          <w:p w14:paraId="5A5A5B79" w14:textId="06BB8B32" w:rsidR="000D6449" w:rsidRPr="00AE7351" w:rsidRDefault="000D6449" w:rsidP="00EC7D6F">
                            <w:pPr>
                              <w:pStyle w:val="KIIDtext1"/>
                              <w:rPr>
                                <w:sz w:val="16"/>
                                <w:szCs w:val="16"/>
                                <w:lang w:val="es-ES"/>
                              </w:rPr>
                            </w:pPr>
                            <w:r w:rsidRPr="008335CB">
                              <w:rPr>
                                <w:sz w:val="16"/>
                                <w:szCs w:val="16"/>
                                <w:lang w:val="es"/>
                              </w:rPr>
                              <w:t xml:space="preserve">Al igual que los mercados de bonos convertibles y de renta variable, de vez en cuando el Fondo puede </w:t>
                            </w:r>
                            <w:r>
                              <w:rPr>
                                <w:sz w:val="16"/>
                                <w:szCs w:val="16"/>
                                <w:lang w:val="es"/>
                              </w:rPr>
                              <w:t>sufrir</w:t>
                            </w:r>
                            <w:r w:rsidRPr="008335CB">
                              <w:rPr>
                                <w:sz w:val="16"/>
                                <w:szCs w:val="16"/>
                                <w:lang w:val="es"/>
                              </w:rPr>
                              <w:t xml:space="preserve"> movimientos bajistas de los precios. Pese a que el Fondo trata de </w:t>
                            </w:r>
                            <w:r w:rsidRPr="00AE7351">
                              <w:rPr>
                                <w:sz w:val="16"/>
                                <w:szCs w:val="16"/>
                                <w:lang w:val="es"/>
                              </w:rPr>
                              <w:t>reducir el riesgo mediante la inversión en una gama de activos diversificados, esta diversificación no elimina el riesgo.</w:t>
                            </w:r>
                          </w:p>
                          <w:p w14:paraId="57740600" w14:textId="049FB5F1" w:rsidR="000D6449" w:rsidRPr="00AE7351" w:rsidRDefault="000D6449" w:rsidP="00EC7D6F">
                            <w:pPr>
                              <w:pStyle w:val="KIIDtext1"/>
                              <w:rPr>
                                <w:sz w:val="16"/>
                                <w:szCs w:val="16"/>
                                <w:lang w:val="es-ES"/>
                              </w:rPr>
                            </w:pPr>
                            <w:r w:rsidRPr="00AE7351">
                              <w:rPr>
                                <w:sz w:val="16"/>
                                <w:szCs w:val="16"/>
                                <w:lang w:val="es"/>
                              </w:rPr>
                              <w:t>El indicador de riesgo y remuneración se ha calculado con datos históricos, por lo que puede no ser un indicador fiable del futuro perfil del Fondo.</w:t>
                            </w:r>
                          </w:p>
                          <w:p w14:paraId="19170E10" w14:textId="2D64FA7C" w:rsidR="000D6449" w:rsidRPr="00AE7351" w:rsidRDefault="000D6449" w:rsidP="00EC7D6F">
                            <w:pPr>
                              <w:pStyle w:val="KIIDtext1"/>
                              <w:rPr>
                                <w:sz w:val="16"/>
                                <w:szCs w:val="16"/>
                                <w:lang w:val="es-ES"/>
                              </w:rPr>
                            </w:pPr>
                            <w:r w:rsidRPr="00AE7351">
                              <w:rPr>
                                <w:sz w:val="16"/>
                                <w:szCs w:val="16"/>
                                <w:lang w:val="es"/>
                              </w:rPr>
                              <w:t>La categoría de riesgo y remuneración arriba indicada no está garantizada y puede subir o bajar con el tiempo. La asignación a la categoría más baja no implica que la inversión esté libre de riesgo.</w:t>
                            </w:r>
                          </w:p>
                          <w:p w14:paraId="4F759B39" w14:textId="7C72D361" w:rsidR="000D6449" w:rsidRPr="008335CB" w:rsidRDefault="000D6449" w:rsidP="005B6E23">
                            <w:pPr>
                              <w:pStyle w:val="KIIDtext1"/>
                              <w:rPr>
                                <w:sz w:val="16"/>
                                <w:szCs w:val="16"/>
                                <w:lang w:val="es-ES"/>
                              </w:rPr>
                            </w:pPr>
                            <w:r w:rsidRPr="00AE7351">
                              <w:rPr>
                                <w:sz w:val="16"/>
                                <w:szCs w:val="16"/>
                                <w:lang w:val="es"/>
                              </w:rPr>
                              <w:t>El precio del Fondo puede subir o bajar y, debido</w:t>
                            </w:r>
                            <w:r w:rsidRPr="008335CB">
                              <w:rPr>
                                <w:sz w:val="16"/>
                                <w:szCs w:val="16"/>
                                <w:lang w:val="es"/>
                              </w:rPr>
                              <w:t xml:space="preserve"> a esto, es posible que no recupere la cantidad invertida originalmente.</w:t>
                            </w:r>
                          </w:p>
                          <w:p w14:paraId="5E146FE5" w14:textId="77777777" w:rsidR="000D6449" w:rsidRPr="008335CB" w:rsidRDefault="000D6449" w:rsidP="00EC7D6F">
                            <w:pPr>
                              <w:pStyle w:val="KIIDtext1"/>
                              <w:rPr>
                                <w:rFonts w:cs="Arial"/>
                                <w:b/>
                                <w:sz w:val="16"/>
                                <w:szCs w:val="16"/>
                              </w:rPr>
                            </w:pPr>
                            <w:r w:rsidRPr="008335CB">
                              <w:rPr>
                                <w:rFonts w:cs="Arial"/>
                                <w:b/>
                                <w:bCs/>
                                <w:sz w:val="16"/>
                                <w:szCs w:val="16"/>
                                <w:lang w:val="es"/>
                              </w:rPr>
                              <w:t>Otros riesgos sustanciales</w:t>
                            </w:r>
                          </w:p>
                          <w:p w14:paraId="51158BAB" w14:textId="718C9CF4" w:rsidR="000D6449" w:rsidRPr="008335CB" w:rsidRDefault="000D6449" w:rsidP="00EC7D6F">
                            <w:pPr>
                              <w:pStyle w:val="KIIDtext1"/>
                              <w:numPr>
                                <w:ilvl w:val="0"/>
                                <w:numId w:val="5"/>
                              </w:numPr>
                              <w:rPr>
                                <w:rFonts w:cs="Arial"/>
                                <w:sz w:val="16"/>
                                <w:szCs w:val="16"/>
                                <w:lang w:val="es-ES"/>
                              </w:rPr>
                            </w:pPr>
                            <w:r w:rsidRPr="008335CB">
                              <w:rPr>
                                <w:rFonts w:cs="Arial"/>
                                <w:b/>
                                <w:bCs/>
                                <w:sz w:val="16"/>
                                <w:szCs w:val="16"/>
                                <w:lang w:val="es"/>
                              </w:rPr>
                              <w:t>Riesgo crediticio/de contraparte</w:t>
                            </w:r>
                            <w:r w:rsidRPr="008335CB">
                              <w:rPr>
                                <w:rFonts w:cs="Arial"/>
                                <w:sz w:val="16"/>
                                <w:szCs w:val="16"/>
                                <w:lang w:val="es"/>
                              </w:rPr>
                              <w:t>: una parte o emisor con el que opera el Fondo puede incumplir sus obligaciones, lo cual podría generar pérdidas.</w:t>
                            </w:r>
                          </w:p>
                          <w:p w14:paraId="5C2434DC" w14:textId="77777777" w:rsidR="000D6449" w:rsidRPr="008335CB" w:rsidRDefault="000D6449" w:rsidP="005B6E23">
                            <w:pPr>
                              <w:pStyle w:val="KIIDtext1"/>
                              <w:rPr>
                                <w:sz w:val="16"/>
                                <w:szCs w:val="16"/>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1" type="#_x0000_t202" style="position:absolute;margin-left:-62.25pt;margin-top:347.8pt;width:287.25pt;height:372.7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0D6449" w:rsidRPr="00543AB0" w14:paraId="0AFB0406" w14:textId="77777777" w:rsidTr="001E5340">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E44BF5" w:rsidRPr="006F31C1" w14:paraId="262DD0F9" w14:textId="77777777" w:rsidTr="003B71E8">
                              <w:trPr>
                                <w:trHeight w:val="168"/>
                              </w:trPr>
                              <w:tc>
                                <w:tcPr>
                                  <w:tcW w:w="1398" w:type="dxa"/>
                                  <w:gridSpan w:val="3"/>
                                  <w:tcBorders>
                                    <w:top w:val="nil"/>
                                    <w:left w:val="nil"/>
                                    <w:bottom w:val="nil"/>
                                    <w:right w:val="nil"/>
                                  </w:tcBorders>
                                  <w:shd w:val="clear" w:color="auto" w:fill="auto"/>
                                  <w:vAlign w:val="bottom"/>
                                </w:tcPr>
                                <w:p w14:paraId="2184AA1D" w14:textId="77777777" w:rsidR="00E44BF5" w:rsidRPr="006F31C1" w:rsidRDefault="00E44BF5" w:rsidP="00E44BF5">
                                  <w:pPr>
                                    <w:autoSpaceDE w:val="0"/>
                                    <w:autoSpaceDN w:val="0"/>
                                    <w:adjustRightInd w:val="0"/>
                                    <w:ind w:left="96"/>
                                    <w:jc w:val="left"/>
                                    <w:rPr>
                                      <w:rFonts w:cs="Arial"/>
                                      <w:b/>
                                      <w:i/>
                                      <w:color w:val="006747"/>
                                      <w:sz w:val="16"/>
                                      <w:szCs w:val="16"/>
                                    </w:rPr>
                                  </w:pPr>
                                  <w:r>
                                    <w:rPr>
                                      <w:rFonts w:cs="Arial"/>
                                      <w:b/>
                                      <w:bCs/>
                                      <w:i/>
                                      <w:iCs/>
                                      <w:color w:val="006747"/>
                                      <w:sz w:val="16"/>
                                      <w:szCs w:val="16"/>
                                      <w:lang w:val="es"/>
                                    </w:rPr>
                                    <w:t>Menor riesgo</w:t>
                                  </w:r>
                                </w:p>
                              </w:tc>
                              <w:tc>
                                <w:tcPr>
                                  <w:tcW w:w="23" w:type="dxa"/>
                                  <w:tcBorders>
                                    <w:top w:val="nil"/>
                                    <w:left w:val="nil"/>
                                    <w:bottom w:val="nil"/>
                                    <w:right w:val="nil"/>
                                  </w:tcBorders>
                                  <w:shd w:val="clear" w:color="auto" w:fill="auto"/>
                                  <w:vAlign w:val="bottom"/>
                                </w:tcPr>
                                <w:p w14:paraId="797EDF04" w14:textId="77777777" w:rsidR="00E44BF5" w:rsidRPr="006F31C1" w:rsidRDefault="00E44BF5" w:rsidP="001E5340">
                                  <w:pPr>
                                    <w:autoSpaceDE w:val="0"/>
                                    <w:autoSpaceDN w:val="0"/>
                                    <w:adjustRightInd w:val="0"/>
                                    <w:jc w:val="center"/>
                                    <w:rPr>
                                      <w:rFonts w:cs="Arial"/>
                                      <w:b/>
                                      <w:i/>
                                      <w:color w:val="8C8984"/>
                                      <w:sz w:val="16"/>
                                      <w:szCs w:val="16"/>
                                    </w:rPr>
                                  </w:pPr>
                                </w:p>
                              </w:tc>
                              <w:tc>
                                <w:tcPr>
                                  <w:tcW w:w="699" w:type="dxa"/>
                                  <w:tcBorders>
                                    <w:top w:val="nil"/>
                                    <w:left w:val="nil"/>
                                    <w:bottom w:val="nil"/>
                                    <w:right w:val="nil"/>
                                  </w:tcBorders>
                                  <w:shd w:val="clear" w:color="auto" w:fill="auto"/>
                                  <w:vAlign w:val="bottom"/>
                                </w:tcPr>
                                <w:p w14:paraId="133E9D68" w14:textId="77777777" w:rsidR="00E44BF5" w:rsidRPr="006F31C1" w:rsidRDefault="00E44BF5"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6429697C" w14:textId="77777777" w:rsidR="00E44BF5" w:rsidRPr="006F31C1" w:rsidRDefault="00E44BF5"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23C0978F" w14:textId="77777777" w:rsidR="00E44BF5" w:rsidRPr="006F31C1" w:rsidRDefault="00E44BF5" w:rsidP="001E5340">
                                  <w:pPr>
                                    <w:autoSpaceDE w:val="0"/>
                                    <w:autoSpaceDN w:val="0"/>
                                    <w:adjustRightInd w:val="0"/>
                                    <w:jc w:val="center"/>
                                    <w:rPr>
                                      <w:rFonts w:cs="Arial"/>
                                      <w:i/>
                                      <w:color w:val="8C8984"/>
                                      <w:sz w:val="16"/>
                                      <w:szCs w:val="16"/>
                                    </w:rPr>
                                  </w:pPr>
                                </w:p>
                              </w:tc>
                              <w:tc>
                                <w:tcPr>
                                  <w:tcW w:w="1398" w:type="dxa"/>
                                  <w:gridSpan w:val="2"/>
                                  <w:tcBorders>
                                    <w:top w:val="nil"/>
                                    <w:left w:val="nil"/>
                                    <w:bottom w:val="nil"/>
                                    <w:right w:val="nil"/>
                                  </w:tcBorders>
                                  <w:shd w:val="clear" w:color="auto" w:fill="auto"/>
                                  <w:vAlign w:val="bottom"/>
                                </w:tcPr>
                                <w:p w14:paraId="760E85BE" w14:textId="77777777" w:rsidR="00E44BF5" w:rsidRPr="006F31C1" w:rsidRDefault="00E44BF5" w:rsidP="001E5340">
                                  <w:pPr>
                                    <w:autoSpaceDE w:val="0"/>
                                    <w:autoSpaceDN w:val="0"/>
                                    <w:adjustRightInd w:val="0"/>
                                    <w:jc w:val="center"/>
                                    <w:rPr>
                                      <w:rFonts w:cs="Arial"/>
                                      <w:b/>
                                      <w:i/>
                                      <w:color w:val="006747"/>
                                      <w:sz w:val="16"/>
                                      <w:szCs w:val="16"/>
                                    </w:rPr>
                                  </w:pPr>
                                  <w:r>
                                    <w:rPr>
                                      <w:rFonts w:cs="Arial"/>
                                      <w:b/>
                                      <w:bCs/>
                                      <w:i/>
                                      <w:iCs/>
                                      <w:color w:val="006747"/>
                                      <w:sz w:val="16"/>
                                      <w:szCs w:val="16"/>
                                      <w:lang w:val="es"/>
                                    </w:rPr>
                                    <w:t>Mayor riesgo</w:t>
                                  </w:r>
                                </w:p>
                              </w:tc>
                            </w:tr>
                            <w:tr w:rsidR="000D6449" w:rsidRPr="006F31C1" w14:paraId="7E4321A5" w14:textId="77777777" w:rsidTr="003B71E8">
                              <w:trPr>
                                <w:trHeight w:val="20"/>
                              </w:trPr>
                              <w:tc>
                                <w:tcPr>
                                  <w:tcW w:w="2120" w:type="dxa"/>
                                  <w:gridSpan w:val="5"/>
                                  <w:tcBorders>
                                    <w:top w:val="nil"/>
                                    <w:left w:val="nil"/>
                                    <w:bottom w:val="nil"/>
                                    <w:right w:val="nil"/>
                                  </w:tcBorders>
                                  <w:shd w:val="clear" w:color="auto" w:fill="auto"/>
                                  <w:vAlign w:val="bottom"/>
                                </w:tcPr>
                                <w:p w14:paraId="661F4071" w14:textId="77777777" w:rsidR="000D6449" w:rsidRPr="006F31C1" w:rsidRDefault="000D6449" w:rsidP="00E44BF5">
                                  <w:pPr>
                                    <w:autoSpaceDE w:val="0"/>
                                    <w:autoSpaceDN w:val="0"/>
                                    <w:adjustRightInd w:val="0"/>
                                    <w:spacing w:line="228" w:lineRule="auto"/>
                                    <w:ind w:left="96"/>
                                    <w:jc w:val="left"/>
                                    <w:rPr>
                                      <w:rFonts w:cs="Arial"/>
                                      <w:i/>
                                      <w:color w:val="8C8984"/>
                                      <w:sz w:val="16"/>
                                      <w:szCs w:val="16"/>
                                    </w:rPr>
                                  </w:pPr>
                                  <w:r>
                                    <w:rPr>
                                      <w:rFonts w:cs="Arial"/>
                                      <w:b/>
                                      <w:bCs/>
                                      <w:i/>
                                      <w:iCs/>
                                      <w:color w:val="006747"/>
                                      <w:sz w:val="16"/>
                                      <w:szCs w:val="16"/>
                                      <w:lang w:val="es"/>
                                    </w:rPr>
                                    <w:t>Normalmente menor remuneración</w:t>
                                  </w:r>
                                </w:p>
                              </w:tc>
                              <w:tc>
                                <w:tcPr>
                                  <w:tcW w:w="699" w:type="dxa"/>
                                  <w:tcBorders>
                                    <w:top w:val="nil"/>
                                    <w:left w:val="nil"/>
                                    <w:bottom w:val="nil"/>
                                    <w:right w:val="nil"/>
                                  </w:tcBorders>
                                  <w:shd w:val="clear" w:color="auto" w:fill="auto"/>
                                  <w:vAlign w:val="bottom"/>
                                </w:tcPr>
                                <w:p w14:paraId="57F81ADF" w14:textId="77777777" w:rsidR="000D6449" w:rsidRPr="006F31C1" w:rsidRDefault="000D6449" w:rsidP="001E5340">
                                  <w:pPr>
                                    <w:autoSpaceDE w:val="0"/>
                                    <w:autoSpaceDN w:val="0"/>
                                    <w:adjustRightInd w:val="0"/>
                                    <w:jc w:val="center"/>
                                    <w:rPr>
                                      <w:rFonts w:cs="Arial"/>
                                      <w:i/>
                                      <w:color w:val="8C8984"/>
                                      <w:sz w:val="16"/>
                                      <w:szCs w:val="16"/>
                                    </w:rPr>
                                  </w:pPr>
                                </w:p>
                              </w:tc>
                              <w:tc>
                                <w:tcPr>
                                  <w:tcW w:w="2097" w:type="dxa"/>
                                  <w:gridSpan w:val="3"/>
                                  <w:tcBorders>
                                    <w:top w:val="nil"/>
                                    <w:left w:val="nil"/>
                                    <w:bottom w:val="nil"/>
                                    <w:right w:val="nil"/>
                                  </w:tcBorders>
                                  <w:shd w:val="clear" w:color="auto" w:fill="auto"/>
                                  <w:vAlign w:val="bottom"/>
                                </w:tcPr>
                                <w:p w14:paraId="642BC576" w14:textId="77777777" w:rsidR="000D6449" w:rsidRPr="006F31C1" w:rsidRDefault="000D6449" w:rsidP="00E44BF5">
                                  <w:pPr>
                                    <w:autoSpaceDE w:val="0"/>
                                    <w:autoSpaceDN w:val="0"/>
                                    <w:adjustRightInd w:val="0"/>
                                    <w:spacing w:line="228" w:lineRule="auto"/>
                                    <w:jc w:val="right"/>
                                    <w:rPr>
                                      <w:rFonts w:cs="Arial"/>
                                      <w:b/>
                                      <w:i/>
                                      <w:color w:val="006747"/>
                                      <w:sz w:val="16"/>
                                      <w:szCs w:val="16"/>
                                    </w:rPr>
                                  </w:pPr>
                                  <w:r>
                                    <w:rPr>
                                      <w:rFonts w:cs="Arial"/>
                                      <w:b/>
                                      <w:bCs/>
                                      <w:i/>
                                      <w:iCs/>
                                      <w:color w:val="006747"/>
                                      <w:sz w:val="16"/>
                                      <w:szCs w:val="16"/>
                                      <w:lang w:val="es"/>
                                    </w:rPr>
                                    <w:t>Normalmente mayor remuneración</w:t>
                                  </w:r>
                                </w:p>
                              </w:tc>
                            </w:tr>
                            <w:tr w:rsidR="000D6449" w:rsidRPr="006F31C1" w14:paraId="1BFF7AA0" w14:textId="77777777" w:rsidTr="00E44BF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0D6449" w:rsidRPr="006F31C1" w:rsidRDefault="000D6449" w:rsidP="001E5340">
                                  <w:pPr>
                                    <w:autoSpaceDE w:val="0"/>
                                    <w:autoSpaceDN w:val="0"/>
                                    <w:adjustRightInd w:val="0"/>
                                    <w:spacing w:before="80" w:after="60"/>
                                    <w:jc w:val="center"/>
                                    <w:rPr>
                                      <w:rFonts w:cs="Arial"/>
                                      <w:b/>
                                      <w:color w:val="FFFFFF"/>
                                      <w:szCs w:val="16"/>
                                    </w:rPr>
                                  </w:pPr>
                                  <w:r>
                                    <w:rPr>
                                      <w:rFonts w:cs="Arial"/>
                                      <w:b/>
                                      <w:bCs/>
                                      <w:color w:val="FFFFFF"/>
                                      <w:szCs w:val="16"/>
                                      <w:lang w:val="es"/>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7</w:t>
                                  </w:r>
                                </w:p>
                              </w:tc>
                            </w:tr>
                          </w:tbl>
                          <w:p w14:paraId="331014CE" w14:textId="77777777" w:rsidR="000D6449" w:rsidRPr="00543AB0" w:rsidRDefault="000D6449" w:rsidP="001E5340">
                            <w:pPr>
                              <w:tabs>
                                <w:tab w:val="left" w:pos="2268"/>
                              </w:tabs>
                              <w:autoSpaceDE w:val="0"/>
                              <w:autoSpaceDN w:val="0"/>
                              <w:adjustRightInd w:val="0"/>
                              <w:spacing w:before="80" w:after="60"/>
                              <w:rPr>
                                <w:rFonts w:ascii="Gill Sans MT" w:hAnsi="Gill Sans MT"/>
                                <w:color w:val="FFFFFF"/>
                                <w:sz w:val="16"/>
                                <w:szCs w:val="16"/>
                              </w:rPr>
                            </w:pPr>
                          </w:p>
                        </w:tc>
                      </w:tr>
                    </w:tbl>
                    <w:p w14:paraId="21D7440D" w14:textId="7B8A03FC" w:rsidR="000D6449" w:rsidRPr="008335CB" w:rsidRDefault="000D6449" w:rsidP="00963093">
                      <w:pPr>
                        <w:pStyle w:val="KIIDtext1"/>
                        <w:spacing w:before="120"/>
                        <w:rPr>
                          <w:sz w:val="16"/>
                          <w:szCs w:val="16"/>
                          <w:lang w:val="es-ES"/>
                        </w:rPr>
                      </w:pPr>
                      <w:r w:rsidRPr="008335CB">
                        <w:rPr>
                          <w:sz w:val="16"/>
                          <w:szCs w:val="16"/>
                          <w:lang w:val="es"/>
                        </w:rPr>
                        <w:t xml:space="preserve">A los efectos de esta tabla, el Fondo se ha asignado a la </w:t>
                      </w:r>
                      <w:r w:rsidRPr="00AE7351">
                        <w:rPr>
                          <w:sz w:val="16"/>
                          <w:szCs w:val="16"/>
                          <w:lang w:val="es"/>
                        </w:rPr>
                        <w:t>categoría 4 debido a sus inversiones en bonos convertibles y al uso de derivados. Esto significa que el riesgo del Fondo es normalmente mayor que el de los instrumentos de renta fija, pero menor que el de los de renta variable.</w:t>
                      </w:r>
                    </w:p>
                    <w:p w14:paraId="5A5A5B79" w14:textId="06BB8B32" w:rsidR="000D6449" w:rsidRPr="00AE7351" w:rsidRDefault="000D6449" w:rsidP="00EC7D6F">
                      <w:pPr>
                        <w:pStyle w:val="KIIDtext1"/>
                        <w:rPr>
                          <w:sz w:val="16"/>
                          <w:szCs w:val="16"/>
                          <w:lang w:val="es-ES"/>
                        </w:rPr>
                      </w:pPr>
                      <w:r w:rsidRPr="008335CB">
                        <w:rPr>
                          <w:sz w:val="16"/>
                          <w:szCs w:val="16"/>
                          <w:lang w:val="es"/>
                        </w:rPr>
                        <w:t xml:space="preserve">Al igual que los mercados de bonos convertibles y de renta variable, de vez en cuando el Fondo puede </w:t>
                      </w:r>
                      <w:r>
                        <w:rPr>
                          <w:sz w:val="16"/>
                          <w:szCs w:val="16"/>
                          <w:lang w:val="es"/>
                        </w:rPr>
                        <w:t>sufrir</w:t>
                      </w:r>
                      <w:r w:rsidRPr="008335CB">
                        <w:rPr>
                          <w:sz w:val="16"/>
                          <w:szCs w:val="16"/>
                          <w:lang w:val="es"/>
                        </w:rPr>
                        <w:t xml:space="preserve"> movimientos bajistas de los precios. Pese a que el Fondo trata de </w:t>
                      </w:r>
                      <w:r w:rsidRPr="00AE7351">
                        <w:rPr>
                          <w:sz w:val="16"/>
                          <w:szCs w:val="16"/>
                          <w:lang w:val="es"/>
                        </w:rPr>
                        <w:t>reducir el riesgo mediante la inversión en una gama de activos diversificados, esta diversificación no elimina el riesgo.</w:t>
                      </w:r>
                    </w:p>
                    <w:p w14:paraId="57740600" w14:textId="049FB5F1" w:rsidR="000D6449" w:rsidRPr="00AE7351" w:rsidRDefault="000D6449" w:rsidP="00EC7D6F">
                      <w:pPr>
                        <w:pStyle w:val="KIIDtext1"/>
                        <w:rPr>
                          <w:sz w:val="16"/>
                          <w:szCs w:val="16"/>
                          <w:lang w:val="es-ES"/>
                        </w:rPr>
                      </w:pPr>
                      <w:r w:rsidRPr="00AE7351">
                        <w:rPr>
                          <w:sz w:val="16"/>
                          <w:szCs w:val="16"/>
                          <w:lang w:val="es"/>
                        </w:rPr>
                        <w:t>El indicador de riesgo y remuneración se ha calculado con datos históricos, por lo que puede no ser un indicador fiable del futuro perfil del Fondo.</w:t>
                      </w:r>
                    </w:p>
                    <w:p w14:paraId="19170E10" w14:textId="2D64FA7C" w:rsidR="000D6449" w:rsidRPr="00AE7351" w:rsidRDefault="000D6449" w:rsidP="00EC7D6F">
                      <w:pPr>
                        <w:pStyle w:val="KIIDtext1"/>
                        <w:rPr>
                          <w:sz w:val="16"/>
                          <w:szCs w:val="16"/>
                          <w:lang w:val="es-ES"/>
                        </w:rPr>
                      </w:pPr>
                      <w:r w:rsidRPr="00AE7351">
                        <w:rPr>
                          <w:sz w:val="16"/>
                          <w:szCs w:val="16"/>
                          <w:lang w:val="es"/>
                        </w:rPr>
                        <w:t>La categoría de riesgo y remuneración arriba indicada no está garantizada y puede subir o bajar con el tiempo. La asignación a la categoría más baja no implica que la inversión esté libre de riesgo.</w:t>
                      </w:r>
                    </w:p>
                    <w:p w14:paraId="4F759B39" w14:textId="7C72D361" w:rsidR="000D6449" w:rsidRPr="008335CB" w:rsidRDefault="000D6449" w:rsidP="005B6E23">
                      <w:pPr>
                        <w:pStyle w:val="KIIDtext1"/>
                        <w:rPr>
                          <w:sz w:val="16"/>
                          <w:szCs w:val="16"/>
                          <w:lang w:val="es-ES"/>
                        </w:rPr>
                      </w:pPr>
                      <w:r w:rsidRPr="00AE7351">
                        <w:rPr>
                          <w:sz w:val="16"/>
                          <w:szCs w:val="16"/>
                          <w:lang w:val="es"/>
                        </w:rPr>
                        <w:t>El precio del Fondo puede subir o bajar y, debido</w:t>
                      </w:r>
                      <w:r w:rsidRPr="008335CB">
                        <w:rPr>
                          <w:sz w:val="16"/>
                          <w:szCs w:val="16"/>
                          <w:lang w:val="es"/>
                        </w:rPr>
                        <w:t xml:space="preserve"> a esto, es posible que no recupere la cantidad invertida originalmente.</w:t>
                      </w:r>
                    </w:p>
                    <w:p w14:paraId="5E146FE5" w14:textId="77777777" w:rsidR="000D6449" w:rsidRPr="008335CB" w:rsidRDefault="000D6449" w:rsidP="00EC7D6F">
                      <w:pPr>
                        <w:pStyle w:val="KIIDtext1"/>
                        <w:rPr>
                          <w:rFonts w:cs="Arial"/>
                          <w:b/>
                          <w:sz w:val="16"/>
                          <w:szCs w:val="16"/>
                        </w:rPr>
                      </w:pPr>
                      <w:r w:rsidRPr="008335CB">
                        <w:rPr>
                          <w:rFonts w:cs="Arial"/>
                          <w:b/>
                          <w:bCs/>
                          <w:sz w:val="16"/>
                          <w:szCs w:val="16"/>
                          <w:lang w:val="es"/>
                        </w:rPr>
                        <w:t>Otros riesgos sustanciales</w:t>
                      </w:r>
                    </w:p>
                    <w:p w14:paraId="51158BAB" w14:textId="718C9CF4" w:rsidR="000D6449" w:rsidRPr="008335CB" w:rsidRDefault="000D6449" w:rsidP="00EC7D6F">
                      <w:pPr>
                        <w:pStyle w:val="KIIDtext1"/>
                        <w:numPr>
                          <w:ilvl w:val="0"/>
                          <w:numId w:val="5"/>
                        </w:numPr>
                        <w:rPr>
                          <w:rFonts w:cs="Arial"/>
                          <w:sz w:val="16"/>
                          <w:szCs w:val="16"/>
                          <w:lang w:val="es-ES"/>
                        </w:rPr>
                      </w:pPr>
                      <w:r w:rsidRPr="008335CB">
                        <w:rPr>
                          <w:rFonts w:cs="Arial"/>
                          <w:b/>
                          <w:bCs/>
                          <w:sz w:val="16"/>
                          <w:szCs w:val="16"/>
                          <w:lang w:val="es"/>
                        </w:rPr>
                        <w:t>Riesgo crediticio/de contraparte</w:t>
                      </w:r>
                      <w:r w:rsidRPr="008335CB">
                        <w:rPr>
                          <w:rFonts w:cs="Arial"/>
                          <w:sz w:val="16"/>
                          <w:szCs w:val="16"/>
                          <w:lang w:val="es"/>
                        </w:rPr>
                        <w:t>: una parte o emisor con el que opera el Fondo puede incumplir sus obligaciones, lo cual podría generar pérdidas.</w:t>
                      </w:r>
                    </w:p>
                    <w:p w14:paraId="5C2434DC" w14:textId="77777777" w:rsidR="000D6449" w:rsidRPr="008335CB" w:rsidRDefault="000D6449" w:rsidP="005B6E23">
                      <w:pPr>
                        <w:pStyle w:val="KIIDtext1"/>
                        <w:rPr>
                          <w:sz w:val="16"/>
                          <w:szCs w:val="16"/>
                          <w:lang w:val="es-ES"/>
                        </w:rPr>
                      </w:pPr>
                    </w:p>
                  </w:txbxContent>
                </v:textbox>
              </v:shape>
            </w:pict>
          </mc:Fallback>
        </mc:AlternateContent>
      </w:r>
      <w:r w:rsidR="00E44BF5">
        <w:rPr>
          <w:noProof/>
          <w:lang w:val="de-DE" w:eastAsia="ja-JP"/>
        </w:rPr>
        <mc:AlternateContent>
          <mc:Choice Requires="wps">
            <w:drawing>
              <wp:anchor distT="0" distB="0" distL="114300" distR="114300" simplePos="0" relativeHeight="251668480" behindDoc="0" locked="0" layoutInCell="1" allowOverlap="1" wp14:anchorId="775DDF5F" wp14:editId="11C8909D">
                <wp:simplePos x="0" y="0"/>
                <wp:positionH relativeFrom="column">
                  <wp:posOffset>2790825</wp:posOffset>
                </wp:positionH>
                <wp:positionV relativeFrom="paragraph">
                  <wp:posOffset>4226560</wp:posOffset>
                </wp:positionV>
                <wp:extent cx="3695700" cy="49720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97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8D659" w:rsidR="000D6449" w:rsidRPr="008335CB" w:rsidRDefault="000D6449" w:rsidP="00E44BF5">
                            <w:pPr>
                              <w:pStyle w:val="KIIDtext1"/>
                              <w:numPr>
                                <w:ilvl w:val="0"/>
                                <w:numId w:val="5"/>
                              </w:numPr>
                              <w:ind w:left="284" w:hanging="284"/>
                              <w:rPr>
                                <w:rFonts w:cs="Arial"/>
                                <w:sz w:val="16"/>
                                <w:szCs w:val="16"/>
                                <w:lang w:val="es-ES"/>
                              </w:rPr>
                            </w:pPr>
                            <w:r w:rsidRPr="008335CB">
                              <w:rPr>
                                <w:rFonts w:cs="Arial"/>
                                <w:b/>
                                <w:bCs/>
                                <w:sz w:val="16"/>
                                <w:szCs w:val="16"/>
                                <w:lang w:val="es"/>
                              </w:rPr>
                              <w:t>Riesgo de divisas de la clase</w:t>
                            </w:r>
                            <w:r w:rsidRPr="008335CB">
                              <w:rPr>
                                <w:rFonts w:cs="Arial"/>
                                <w:sz w:val="16"/>
                                <w:szCs w:val="16"/>
                                <w:lang w:val="es"/>
                              </w:rPr>
                              <w:t>: puede que la cobertura de divisas no consiga mitigar los efectos de las fluctuaciones en los tipos de cambio de las clases no denominadas en USD.</w:t>
                            </w:r>
                          </w:p>
                          <w:p w14:paraId="257A0D0D" w14:textId="7933FDD4"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mercados emergentes</w:t>
                            </w:r>
                            <w:r w:rsidRPr="008335CB">
                              <w:rPr>
                                <w:rFonts w:cs="Arial"/>
                                <w:sz w:val="16"/>
                                <w:szCs w:val="16"/>
                                <w:lang w:val="es"/>
                              </w:rPr>
                              <w:t>: es probable que los mercados emergentes asuman un mayor riesgo debido a su menor liquidez y una posible falta de estructuras financieras, jurídicas, sociales, políticas y económicas adecuadas, protección y estabilidad, además de la incertidumbre de sus posturas fiscales.</w:t>
                            </w:r>
                          </w:p>
                          <w:p w14:paraId="56536B43" w14:textId="5A9DA4A0"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operativo</w:t>
                            </w:r>
                            <w:r w:rsidRPr="008335CB">
                              <w:rPr>
                                <w:rFonts w:cs="Arial"/>
                                <w:sz w:val="16"/>
                                <w:szCs w:val="16"/>
                                <w:lang w:val="es"/>
                              </w:rPr>
                              <w:t xml:space="preserve">: como consecuencia de un error humano, un fallo del sistema o del proceso, procedimientos o controles inadecuados pueden producirse pérdidas sustanciales para el Fondo. </w:t>
                            </w:r>
                          </w:p>
                          <w:p w14:paraId="5946C460" w14:textId="6CC17CA4"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del tipo de cambio</w:t>
                            </w:r>
                            <w:r w:rsidRPr="008335CB">
                              <w:rPr>
                                <w:rFonts w:cs="Arial"/>
                                <w:sz w:val="16"/>
                                <w:szCs w:val="16"/>
                                <w:lang w:val="es"/>
                              </w:rPr>
                              <w:t>: las variaciones en los tipos de cambio pueden reducir o incrementar el valor de los activos no denominados en USD que mantiene el Fondo. Puede que la cobertura de divisas no consiga mitigar estos efectos.</w:t>
                            </w:r>
                          </w:p>
                          <w:p w14:paraId="0AE88B51" w14:textId="55D79CB5"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alto rendimiento</w:t>
                            </w:r>
                            <w:r w:rsidRPr="008335CB">
                              <w:rPr>
                                <w:rFonts w:cs="Arial"/>
                                <w:sz w:val="16"/>
                                <w:szCs w:val="16"/>
                                <w:lang w:val="es"/>
                              </w:rPr>
                              <w:t xml:space="preserve">: las inversiones de alto rendimiento, es decir, los instrumentos que pagan una cantidad elevada de ingresos, por lo general conllevan un mayor riesgo crediticio y una mayor sensibilidad a la evolución de la economía, lo que genera mayores oscilaciones de los de precios que los instrumentos de menor rendimiento. </w:t>
                            </w:r>
                          </w:p>
                          <w:p w14:paraId="1635603F" w14:textId="620E7321"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liquidez</w:t>
                            </w:r>
                            <w:r w:rsidRPr="008335CB">
                              <w:rPr>
                                <w:rFonts w:cs="Arial"/>
                                <w:sz w:val="16"/>
                                <w:szCs w:val="16"/>
                                <w:lang w:val="es"/>
                              </w:rPr>
                              <w:t>: los bonos convertibles se negocian predominantemente en el mercado extrabursátil y pueden estar sujetos a una liquidez menor que los valores de renta variable subyacentes.</w:t>
                            </w:r>
                          </w:p>
                          <w:p w14:paraId="18B9FEBF" w14:textId="5F6395F9"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Derivados y riesgo de apalancamiento</w:t>
                            </w:r>
                            <w:r w:rsidRPr="008335CB">
                              <w:rPr>
                                <w:rFonts w:cs="Arial"/>
                                <w:sz w:val="16"/>
                                <w:szCs w:val="16"/>
                                <w:lang w:val="es"/>
                              </w:rPr>
                              <w:t xml:space="preserve">: algunos Derivados pueden introducir apalancamiento en el Fondo que puede generar pérdidas superiores al importe invertido inicialmente en ese derivado. </w:t>
                            </w:r>
                          </w:p>
                          <w:p w14:paraId="452F9445" w14:textId="1B72059D" w:rsidR="000D6449" w:rsidRPr="008335CB" w:rsidRDefault="000D6449" w:rsidP="00E44BF5">
                            <w:pPr>
                              <w:pStyle w:val="KIIDtext1"/>
                              <w:rPr>
                                <w:rFonts w:cs="Arial"/>
                                <w:sz w:val="16"/>
                                <w:szCs w:val="16"/>
                              </w:rPr>
                            </w:pPr>
                            <w:r w:rsidRPr="008335CB">
                              <w:rPr>
                                <w:sz w:val="16"/>
                                <w:szCs w:val="16"/>
                                <w:lang w:val="es"/>
                              </w:rPr>
                              <w:t>En el Folleto del Fondo y su Suplemento se recoge una descripción más detallada de los factores de riesgo aplicables al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2" type="#_x0000_t202" style="position:absolute;margin-left:219.75pt;margin-top:332.8pt;width:291pt;height:3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L/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" stroked="f">
                <v:textbox>
                  <w:txbxContent>
                    <w:p w14:paraId="6E618A50" w14:textId="45A8D659" w:rsidR="000D6449" w:rsidRPr="008335CB" w:rsidRDefault="000D6449" w:rsidP="00E44BF5">
                      <w:pPr>
                        <w:pStyle w:val="KIIDtext1"/>
                        <w:numPr>
                          <w:ilvl w:val="0"/>
                          <w:numId w:val="5"/>
                        </w:numPr>
                        <w:ind w:left="284" w:hanging="284"/>
                        <w:rPr>
                          <w:rFonts w:cs="Arial"/>
                          <w:sz w:val="16"/>
                          <w:szCs w:val="16"/>
                          <w:lang w:val="es-ES"/>
                        </w:rPr>
                      </w:pPr>
                      <w:r w:rsidRPr="008335CB">
                        <w:rPr>
                          <w:rFonts w:cs="Arial"/>
                          <w:b/>
                          <w:bCs/>
                          <w:sz w:val="16"/>
                          <w:szCs w:val="16"/>
                          <w:lang w:val="es"/>
                        </w:rPr>
                        <w:t>Riesgo de divisas de la clase</w:t>
                      </w:r>
                      <w:r w:rsidRPr="008335CB">
                        <w:rPr>
                          <w:rFonts w:cs="Arial"/>
                          <w:sz w:val="16"/>
                          <w:szCs w:val="16"/>
                          <w:lang w:val="es"/>
                        </w:rPr>
                        <w:t>: puede que la cobertura de divisas no consiga mitigar los efectos de las fluctuaciones en los tipos de cambio de las clases no denominadas en USD.</w:t>
                      </w:r>
                    </w:p>
                    <w:p w14:paraId="257A0D0D" w14:textId="7933FDD4"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mercados emergentes</w:t>
                      </w:r>
                      <w:r w:rsidRPr="008335CB">
                        <w:rPr>
                          <w:rFonts w:cs="Arial"/>
                          <w:sz w:val="16"/>
                          <w:szCs w:val="16"/>
                          <w:lang w:val="es"/>
                        </w:rPr>
                        <w:t>: es probable que los mercados emergentes asuman un mayor riesgo debido a su menor liquidez y una posible falta de estructuras financieras, jurídicas, sociales, políticas y económicas adecuadas, protección y estabilidad, además de la incertidumbre de sus posturas fiscales.</w:t>
                      </w:r>
                    </w:p>
                    <w:p w14:paraId="56536B43" w14:textId="5A9DA4A0"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operativo</w:t>
                      </w:r>
                      <w:r w:rsidRPr="008335CB">
                        <w:rPr>
                          <w:rFonts w:cs="Arial"/>
                          <w:sz w:val="16"/>
                          <w:szCs w:val="16"/>
                          <w:lang w:val="es"/>
                        </w:rPr>
                        <w:t xml:space="preserve">: como consecuencia de un error humano, un fallo del sistema o del proceso, procedimientos o controles inadecuados pueden producirse pérdidas sustanciales para el Fondo. </w:t>
                      </w:r>
                    </w:p>
                    <w:p w14:paraId="5946C460" w14:textId="6CC17CA4"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del tipo de cambio</w:t>
                      </w:r>
                      <w:r w:rsidRPr="008335CB">
                        <w:rPr>
                          <w:rFonts w:cs="Arial"/>
                          <w:sz w:val="16"/>
                          <w:szCs w:val="16"/>
                          <w:lang w:val="es"/>
                        </w:rPr>
                        <w:t>: las variaciones en los tipos de cambio pueden reducir o incrementar el valor de los activos no denominados en USD que mantiene el Fondo. Puede que la cobertura de divisas no consiga mitigar estos efectos.</w:t>
                      </w:r>
                    </w:p>
                    <w:p w14:paraId="0AE88B51" w14:textId="55D79CB5"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alto rendimiento</w:t>
                      </w:r>
                      <w:r w:rsidRPr="008335CB">
                        <w:rPr>
                          <w:rFonts w:cs="Arial"/>
                          <w:sz w:val="16"/>
                          <w:szCs w:val="16"/>
                          <w:lang w:val="es"/>
                        </w:rPr>
                        <w:t xml:space="preserve">: las inversiones de alto rendimiento, es decir, los instrumentos que pagan una cantidad elevada de ingresos, por lo general conllevan un mayor riesgo crediticio y una mayor sensibilidad a la evolución de la economía, lo que genera mayores oscilaciones de los de precios que los instrumentos de menor rendimiento. </w:t>
                      </w:r>
                    </w:p>
                    <w:p w14:paraId="1635603F" w14:textId="620E7321"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liquidez</w:t>
                      </w:r>
                      <w:r w:rsidRPr="008335CB">
                        <w:rPr>
                          <w:rFonts w:cs="Arial"/>
                          <w:sz w:val="16"/>
                          <w:szCs w:val="16"/>
                          <w:lang w:val="es"/>
                        </w:rPr>
                        <w:t>: los bonos convertibles se negocian predominantemente en el mercado extrabursátil y pueden estar sujetos a una liquidez menor que los valores de renta variable subyacentes.</w:t>
                      </w:r>
                    </w:p>
                    <w:p w14:paraId="18B9FEBF" w14:textId="5F6395F9"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Derivados y riesgo de apalancamiento</w:t>
                      </w:r>
                      <w:r w:rsidRPr="008335CB">
                        <w:rPr>
                          <w:rFonts w:cs="Arial"/>
                          <w:sz w:val="16"/>
                          <w:szCs w:val="16"/>
                          <w:lang w:val="es"/>
                        </w:rPr>
                        <w:t xml:space="preserve">: algunos Derivados pueden introducir apalancamiento en el Fondo que puede generar pérdidas superiores al importe invertido inicialmente en ese derivado. </w:t>
                      </w:r>
                    </w:p>
                    <w:p w14:paraId="452F9445" w14:textId="1B72059D" w:rsidR="000D6449" w:rsidRPr="008335CB" w:rsidRDefault="000D6449" w:rsidP="00E44BF5">
                      <w:pPr>
                        <w:pStyle w:val="KIIDtext1"/>
                        <w:rPr>
                          <w:rFonts w:cs="Arial"/>
                          <w:sz w:val="16"/>
                          <w:szCs w:val="16"/>
                        </w:rPr>
                      </w:pPr>
                      <w:r w:rsidRPr="008335CB">
                        <w:rPr>
                          <w:sz w:val="16"/>
                          <w:szCs w:val="16"/>
                          <w:lang w:val="es"/>
                        </w:rPr>
                        <w:t>En el Folleto del Fondo y su Suplemento se recoge una descripción más detallada de los factores de riesgo aplicables al Fondo.</w:t>
                      </w:r>
                    </w:p>
                  </w:txbxContent>
                </v:textbox>
              </v:shape>
            </w:pict>
          </mc:Fallback>
        </mc:AlternateContent>
      </w:r>
      <w:r w:rsidR="00640079">
        <w:rPr>
          <w:noProof/>
          <w:lang w:val="de-DE" w:eastAsia="ja-JP"/>
        </w:rPr>
        <mc:AlternateContent>
          <mc:Choice Requires="wps">
            <w:drawing>
              <wp:anchor distT="0" distB="0" distL="114300" distR="114300" simplePos="0" relativeHeight="251663360" behindDoc="0" locked="0" layoutInCell="1" allowOverlap="1" wp14:anchorId="16C457A2" wp14:editId="2116E9AE">
                <wp:simplePos x="0" y="0"/>
                <wp:positionH relativeFrom="column">
                  <wp:posOffset>-681990</wp:posOffset>
                </wp:positionH>
                <wp:positionV relativeFrom="paragraph">
                  <wp:posOffset>1312545</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77777777" w:rsidR="000D6449" w:rsidRPr="00831DE1" w:rsidRDefault="000D6449" w:rsidP="005B6E23">
                            <w:pPr>
                              <w:pStyle w:val="BoldSubHead"/>
                              <w:spacing w:before="0"/>
                              <w:rPr>
                                <w:color w:val="5F5F5F"/>
                                <w:sz w:val="18"/>
                                <w:szCs w:val="18"/>
                              </w:rPr>
                            </w:pPr>
                            <w:r>
                              <w:rPr>
                                <w:lang w:val="es"/>
                              </w:rPr>
                              <w:t>Objetivos y política de inversión</w:t>
                            </w:r>
                          </w:p>
                          <w:p w14:paraId="2B5CEB0D" w14:textId="77777777" w:rsidR="000D6449" w:rsidRPr="00831DE1" w:rsidRDefault="000D6449"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3" type="#_x0000_t202" style="position:absolute;margin-left:-53.7pt;margin-top:103.35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pzhQ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" stroked="f">
                <v:textbox>
                  <w:txbxContent>
                    <w:p w14:paraId="2D0B738E" w14:textId="77777777" w:rsidR="000D6449" w:rsidRPr="00831DE1" w:rsidRDefault="000D6449" w:rsidP="005B6E23">
                      <w:pPr>
                        <w:pStyle w:val="BoldSubHead"/>
                        <w:spacing w:before="0"/>
                        <w:rPr>
                          <w:color w:val="5F5F5F"/>
                          <w:sz w:val="18"/>
                          <w:szCs w:val="18"/>
                        </w:rPr>
                      </w:pPr>
                      <w:r>
                        <w:rPr>
                          <w:lang w:val="es"/>
                        </w:rPr>
                        <w:t>Objetivos y política de inversión</w:t>
                      </w:r>
                    </w:p>
                    <w:p w14:paraId="2B5CEB0D" w14:textId="77777777" w:rsidR="000D6449" w:rsidRPr="00831DE1" w:rsidRDefault="000D6449"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640079">
        <w:rPr>
          <w:noProof/>
          <w:lang w:val="de-DE" w:eastAsia="ja-JP"/>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77777777" w:rsidR="000D6449" w:rsidRPr="006F31C1" w:rsidRDefault="000D6449" w:rsidP="005B6E23">
                            <w:pPr>
                              <w:pStyle w:val="BoldSubHead"/>
                              <w:spacing w:before="0"/>
                            </w:pPr>
                            <w:r>
                              <w:rPr>
                                <w:lang w:val="es"/>
                              </w:rPr>
                              <w:t>Perfil de riesgo y remuneración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cM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" stroked="f">
                <v:textbox>
                  <w:txbxContent>
                    <w:p w14:paraId="6B74D446" w14:textId="77777777" w:rsidR="000D6449" w:rsidRPr="006F31C1" w:rsidRDefault="000D6449" w:rsidP="005B6E23">
                      <w:pPr>
                        <w:pStyle w:val="BoldSubHead"/>
                        <w:spacing w:before="0"/>
                      </w:pPr>
                      <w:r>
                        <w:rPr>
                          <w:lang w:val="es"/>
                        </w:rPr>
                        <w:t>Perfil de riesgo y remuneración</w:t>
                      </w:r>
                    </w:p>
                  </w:txbxContent>
                </v:textbox>
              </v:shape>
            </w:pict>
          </mc:Fallback>
        </mc:AlternateContent>
      </w:r>
      <w:r w:rsidR="00640079">
        <w:rPr>
          <w:noProof/>
          <w:color w:val="000000"/>
          <w:lang w:val="de-DE" w:eastAsia="ja-JP"/>
        </w:rPr>
        <mc:AlternateContent>
          <mc:Choice Requires="wps">
            <w:drawing>
              <wp:anchor distT="0" distB="0" distL="114300" distR="114300" simplePos="0" relativeHeight="251666432" behindDoc="0" locked="0" layoutInCell="1" allowOverlap="1" wp14:anchorId="1C3FD5D8" wp14:editId="69629D01">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03B3"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640079">
        <w:rPr>
          <w:noProof/>
          <w:lang w:val="de-DE"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0D6449" w:rsidRPr="006F31C1" w:rsidRDefault="000D6449"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0D6449" w:rsidRPr="006F31C1" w:rsidRDefault="000D6449"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v:textbox>
              </v:shape>
            </w:pict>
          </mc:Fallback>
        </mc:AlternateContent>
      </w:r>
      <w:r w:rsidR="00640079">
        <w:rPr>
          <w:lang w:val="es"/>
        </w:rPr>
        <w:br w:type="page"/>
      </w:r>
    </w:p>
    <w:tbl>
      <w:tblPr>
        <w:tblpPr w:leftFromText="141" w:rightFromText="141" w:vertAnchor="text" w:horzAnchor="page" w:tblpX="5830" w:tblpY="-509"/>
        <w:tblW w:w="5529" w:type="dxa"/>
        <w:tblCellMar>
          <w:top w:w="28" w:type="dxa"/>
        </w:tblCellMar>
        <w:tblLook w:val="04A0" w:firstRow="1" w:lastRow="0" w:firstColumn="1" w:lastColumn="0" w:noHBand="0" w:noVBand="1"/>
      </w:tblPr>
      <w:tblGrid>
        <w:gridCol w:w="1520"/>
        <w:gridCol w:w="748"/>
        <w:gridCol w:w="65"/>
        <w:gridCol w:w="236"/>
        <w:gridCol w:w="1517"/>
        <w:gridCol w:w="1443"/>
      </w:tblGrid>
      <w:tr w:rsidR="001E5340" w:rsidRPr="00AA33B2" w14:paraId="6A6BDDF6" w14:textId="77777777" w:rsidTr="00F139E5">
        <w:trPr>
          <w:trHeight w:val="283"/>
        </w:trPr>
        <w:tc>
          <w:tcPr>
            <w:tcW w:w="5529" w:type="dxa"/>
            <w:gridSpan w:val="6"/>
            <w:shd w:val="clear" w:color="auto" w:fill="006747"/>
          </w:tcPr>
          <w:p w14:paraId="72ACCE1B" w14:textId="77777777" w:rsidR="001E5340" w:rsidRPr="008335CB" w:rsidRDefault="001E5340" w:rsidP="00F139E5">
            <w:pPr>
              <w:tabs>
                <w:tab w:val="left" w:pos="264"/>
              </w:tabs>
              <w:autoSpaceDE w:val="0"/>
              <w:autoSpaceDN w:val="0"/>
              <w:adjustRightInd w:val="0"/>
              <w:spacing w:line="200" w:lineRule="exact"/>
              <w:jc w:val="left"/>
              <w:rPr>
                <w:rFonts w:cs="Arial"/>
                <w:b/>
                <w:color w:val="FFFFFF"/>
                <w:sz w:val="16"/>
                <w:szCs w:val="16"/>
                <w:lang w:val="es-ES"/>
              </w:rPr>
            </w:pPr>
            <w:r>
              <w:rPr>
                <w:rFonts w:cs="Arial"/>
                <w:b/>
                <w:bCs/>
                <w:color w:val="FFFFFF"/>
                <w:sz w:val="16"/>
                <w:szCs w:val="16"/>
                <w:lang w:val="es"/>
              </w:rPr>
              <w:lastRenderedPageBreak/>
              <w:t>Gastos no recurrentes percibidos con anterioridad o con posterioridad a la inversión</w:t>
            </w:r>
          </w:p>
        </w:tc>
      </w:tr>
      <w:tr w:rsidR="001E5340" w14:paraId="47D9AEFF" w14:textId="77777777" w:rsidTr="00F139E5">
        <w:tc>
          <w:tcPr>
            <w:tcW w:w="1520" w:type="dxa"/>
            <w:tcBorders>
              <w:bottom w:val="single" w:sz="8" w:space="0" w:color="CCE1DA"/>
            </w:tcBorders>
            <w:shd w:val="clear" w:color="auto" w:fill="CCE1DA"/>
          </w:tcPr>
          <w:p w14:paraId="472F25D2" w14:textId="77777777" w:rsidR="001E5340" w:rsidRPr="006F31C1" w:rsidRDefault="001E5340" w:rsidP="00F139E5">
            <w:pPr>
              <w:pStyle w:val="KIIDtext1"/>
              <w:autoSpaceDE w:val="0"/>
              <w:autoSpaceDN w:val="0"/>
              <w:adjustRightInd w:val="0"/>
              <w:spacing w:line="200" w:lineRule="exact"/>
              <w:rPr>
                <w:rFonts w:cs="Arial"/>
                <w:color w:val="006747"/>
                <w:sz w:val="16"/>
                <w:szCs w:val="16"/>
              </w:rPr>
            </w:pPr>
            <w:r>
              <w:rPr>
                <w:rFonts w:cs="Arial"/>
                <w:b/>
                <w:bCs/>
                <w:color w:val="006747"/>
                <w:sz w:val="16"/>
                <w:szCs w:val="16"/>
                <w:lang w:val="es"/>
              </w:rPr>
              <w:t>Gastos de entrada</w:t>
            </w:r>
          </w:p>
        </w:tc>
        <w:tc>
          <w:tcPr>
            <w:tcW w:w="813" w:type="dxa"/>
            <w:gridSpan w:val="2"/>
            <w:tcBorders>
              <w:bottom w:val="single" w:sz="8" w:space="0" w:color="CCE1DA"/>
              <w:right w:val="single" w:sz="8" w:space="0" w:color="CCE1DA"/>
            </w:tcBorders>
            <w:shd w:val="clear" w:color="auto" w:fill="auto"/>
          </w:tcPr>
          <w:p w14:paraId="76CAC200" w14:textId="77777777" w:rsidR="001E5340" w:rsidRPr="006F31C1" w:rsidRDefault="001E5340" w:rsidP="00F139E5">
            <w:pPr>
              <w:pStyle w:val="KIIDtext1"/>
              <w:autoSpaceDE w:val="0"/>
              <w:autoSpaceDN w:val="0"/>
              <w:adjustRightInd w:val="0"/>
              <w:spacing w:line="200" w:lineRule="exact"/>
              <w:rPr>
                <w:rFonts w:cs="Arial"/>
                <w:sz w:val="16"/>
                <w:szCs w:val="16"/>
              </w:rPr>
            </w:pPr>
            <w:r>
              <w:rPr>
                <w:rFonts w:cs="Arial"/>
                <w:sz w:val="16"/>
                <w:szCs w:val="16"/>
                <w:lang w:val="es"/>
              </w:rPr>
              <w:t>Ninguno</w:t>
            </w:r>
          </w:p>
        </w:tc>
        <w:tc>
          <w:tcPr>
            <w:tcW w:w="236" w:type="dxa"/>
            <w:tcBorders>
              <w:left w:val="single" w:sz="8" w:space="0" w:color="CCE1DA"/>
            </w:tcBorders>
            <w:shd w:val="clear" w:color="auto" w:fill="FFFFFF"/>
          </w:tcPr>
          <w:p w14:paraId="5B817C99" w14:textId="77777777" w:rsidR="001E5340" w:rsidRPr="006F31C1" w:rsidRDefault="001E5340" w:rsidP="00F139E5">
            <w:pPr>
              <w:pStyle w:val="KIIDtext1"/>
              <w:autoSpaceDE w:val="0"/>
              <w:autoSpaceDN w:val="0"/>
              <w:adjustRightInd w:val="0"/>
              <w:spacing w:line="200" w:lineRule="exact"/>
              <w:rPr>
                <w:rFonts w:cs="Arial"/>
                <w:sz w:val="16"/>
                <w:szCs w:val="16"/>
              </w:rPr>
            </w:pPr>
          </w:p>
        </w:tc>
        <w:tc>
          <w:tcPr>
            <w:tcW w:w="1517" w:type="dxa"/>
            <w:tcBorders>
              <w:bottom w:val="single" w:sz="8" w:space="0" w:color="CCE1DA"/>
            </w:tcBorders>
            <w:shd w:val="clear" w:color="auto" w:fill="CCE1DA"/>
          </w:tcPr>
          <w:p w14:paraId="1195EA81" w14:textId="77777777" w:rsidR="001E5340" w:rsidRPr="006F31C1" w:rsidRDefault="001E5340" w:rsidP="00F139E5">
            <w:pPr>
              <w:pStyle w:val="KIIDtext1"/>
              <w:autoSpaceDE w:val="0"/>
              <w:autoSpaceDN w:val="0"/>
              <w:adjustRightInd w:val="0"/>
              <w:spacing w:line="200" w:lineRule="exact"/>
              <w:rPr>
                <w:rFonts w:cs="Arial"/>
                <w:sz w:val="16"/>
                <w:szCs w:val="16"/>
              </w:rPr>
            </w:pPr>
            <w:r>
              <w:rPr>
                <w:rFonts w:cs="Arial"/>
                <w:b/>
                <w:bCs/>
                <w:color w:val="006747"/>
                <w:sz w:val="16"/>
                <w:szCs w:val="16"/>
                <w:lang w:val="es"/>
              </w:rPr>
              <w:t>Gastos de salida</w:t>
            </w:r>
          </w:p>
        </w:tc>
        <w:tc>
          <w:tcPr>
            <w:tcW w:w="1443" w:type="dxa"/>
            <w:tcBorders>
              <w:bottom w:val="single" w:sz="8" w:space="0" w:color="CCE1DA"/>
              <w:right w:val="single" w:sz="8" w:space="0" w:color="CCE1DA"/>
            </w:tcBorders>
            <w:shd w:val="clear" w:color="auto" w:fill="auto"/>
          </w:tcPr>
          <w:p w14:paraId="3F520013" w14:textId="77777777" w:rsidR="001E5340" w:rsidRPr="006F31C1" w:rsidRDefault="001E5340" w:rsidP="00F139E5">
            <w:pPr>
              <w:pStyle w:val="KIIDtext1"/>
              <w:autoSpaceDE w:val="0"/>
              <w:autoSpaceDN w:val="0"/>
              <w:adjustRightInd w:val="0"/>
              <w:spacing w:line="200" w:lineRule="exact"/>
              <w:rPr>
                <w:rFonts w:cs="Arial"/>
                <w:sz w:val="16"/>
                <w:szCs w:val="16"/>
              </w:rPr>
            </w:pPr>
            <w:r>
              <w:rPr>
                <w:rFonts w:cs="Arial"/>
                <w:sz w:val="16"/>
                <w:szCs w:val="16"/>
                <w:lang w:val="es"/>
              </w:rPr>
              <w:t>Ninguno</w:t>
            </w:r>
          </w:p>
        </w:tc>
      </w:tr>
      <w:tr w:rsidR="001E5340" w:rsidRPr="00AA33B2" w14:paraId="00B97B86" w14:textId="77777777" w:rsidTr="00F139E5">
        <w:tc>
          <w:tcPr>
            <w:tcW w:w="5529" w:type="dxa"/>
            <w:gridSpan w:val="6"/>
            <w:shd w:val="clear" w:color="auto" w:fill="auto"/>
          </w:tcPr>
          <w:p w14:paraId="051B3B2A" w14:textId="77777777" w:rsidR="001E5340" w:rsidRPr="008335CB" w:rsidRDefault="001E5340" w:rsidP="00F139E5">
            <w:pPr>
              <w:pStyle w:val="KIIDtext1"/>
              <w:autoSpaceDE w:val="0"/>
              <w:autoSpaceDN w:val="0"/>
              <w:adjustRightInd w:val="0"/>
              <w:spacing w:after="180" w:line="200" w:lineRule="exact"/>
              <w:rPr>
                <w:rFonts w:cs="Arial"/>
                <w:sz w:val="16"/>
                <w:szCs w:val="16"/>
                <w:lang w:val="es-ES"/>
              </w:rPr>
            </w:pPr>
            <w:r>
              <w:rPr>
                <w:rFonts w:cs="Arial"/>
                <w:sz w:val="16"/>
                <w:szCs w:val="16"/>
                <w:lang w:val="es"/>
              </w:rPr>
              <w:t>Los gastos de entrada constituyen el máximo que puede detraerse de su capital antes de proceder a la inversión.</w:t>
            </w:r>
          </w:p>
        </w:tc>
      </w:tr>
      <w:tr w:rsidR="001E5340" w:rsidRPr="00AA33B2" w14:paraId="1B4F9D5E" w14:textId="77777777" w:rsidTr="00F139E5">
        <w:trPr>
          <w:trHeight w:val="283"/>
        </w:trPr>
        <w:tc>
          <w:tcPr>
            <w:tcW w:w="5529" w:type="dxa"/>
            <w:gridSpan w:val="6"/>
            <w:shd w:val="clear" w:color="auto" w:fill="006747"/>
          </w:tcPr>
          <w:p w14:paraId="66C47F2C" w14:textId="77777777" w:rsidR="001E5340" w:rsidRPr="008335CB" w:rsidRDefault="001E5340" w:rsidP="00F139E5">
            <w:pPr>
              <w:pStyle w:val="KIIDtext1"/>
              <w:autoSpaceDE w:val="0"/>
              <w:autoSpaceDN w:val="0"/>
              <w:adjustRightInd w:val="0"/>
              <w:spacing w:after="0" w:line="200" w:lineRule="exact"/>
              <w:rPr>
                <w:rFonts w:cs="Arial"/>
                <w:b/>
                <w:color w:val="FFFFFF"/>
                <w:sz w:val="16"/>
                <w:szCs w:val="16"/>
                <w:lang w:val="es-ES"/>
              </w:rPr>
            </w:pPr>
            <w:r>
              <w:rPr>
                <w:rFonts w:cs="Arial"/>
                <w:b/>
                <w:bCs/>
                <w:color w:val="FFFFFF"/>
                <w:sz w:val="16"/>
                <w:szCs w:val="16"/>
                <w:lang w:val="es"/>
              </w:rPr>
              <w:t>Gastos detraídos del fondo a lo largo de un año</w:t>
            </w:r>
          </w:p>
        </w:tc>
      </w:tr>
      <w:tr w:rsidR="001E5340" w14:paraId="78F9FC1B" w14:textId="77777777" w:rsidTr="00F139E5">
        <w:tc>
          <w:tcPr>
            <w:tcW w:w="2268" w:type="dxa"/>
            <w:gridSpan w:val="2"/>
            <w:tcBorders>
              <w:bottom w:val="single" w:sz="8" w:space="0" w:color="CCE1DA"/>
            </w:tcBorders>
            <w:shd w:val="clear" w:color="auto" w:fill="CCE1DA"/>
          </w:tcPr>
          <w:p w14:paraId="5854F10B" w14:textId="77777777" w:rsidR="001E5340" w:rsidRPr="006F31C1" w:rsidRDefault="001E5340" w:rsidP="00F139E5">
            <w:pPr>
              <w:pStyle w:val="KIIDtext1"/>
              <w:autoSpaceDE w:val="0"/>
              <w:autoSpaceDN w:val="0"/>
              <w:adjustRightInd w:val="0"/>
              <w:spacing w:line="200" w:lineRule="exact"/>
              <w:rPr>
                <w:rFonts w:cs="Arial"/>
                <w:color w:val="006747"/>
                <w:sz w:val="16"/>
                <w:szCs w:val="16"/>
              </w:rPr>
            </w:pPr>
            <w:r>
              <w:rPr>
                <w:rFonts w:cs="Arial"/>
                <w:b/>
                <w:bCs/>
                <w:color w:val="006747"/>
                <w:sz w:val="16"/>
                <w:szCs w:val="16"/>
                <w:lang w:val="es"/>
              </w:rPr>
              <w:t>Gastos corrientes</w:t>
            </w:r>
          </w:p>
        </w:tc>
        <w:tc>
          <w:tcPr>
            <w:tcW w:w="3261" w:type="dxa"/>
            <w:gridSpan w:val="4"/>
            <w:tcBorders>
              <w:bottom w:val="single" w:sz="8" w:space="0" w:color="CCE1DA"/>
              <w:right w:val="single" w:sz="8" w:space="0" w:color="CCE1DA"/>
            </w:tcBorders>
            <w:shd w:val="clear" w:color="auto" w:fill="auto"/>
          </w:tcPr>
          <w:p w14:paraId="4DB0214A" w14:textId="01794C1B" w:rsidR="001E5340" w:rsidRPr="003206E5" w:rsidRDefault="00B75BB0" w:rsidP="00F139E5">
            <w:pPr>
              <w:pStyle w:val="KIIDtext1"/>
              <w:autoSpaceDE w:val="0"/>
              <w:autoSpaceDN w:val="0"/>
              <w:adjustRightInd w:val="0"/>
              <w:spacing w:line="200" w:lineRule="exact"/>
              <w:rPr>
                <w:rFonts w:cs="Arial"/>
                <w:b/>
                <w:sz w:val="16"/>
                <w:szCs w:val="16"/>
              </w:rPr>
            </w:pPr>
            <w:r>
              <w:rPr>
                <w:rFonts w:cs="Arial"/>
                <w:sz w:val="16"/>
                <w:szCs w:val="16"/>
                <w:lang w:val="es"/>
              </w:rPr>
              <w:t>1,9</w:t>
            </w:r>
            <w:r w:rsidR="001E5340">
              <w:rPr>
                <w:rFonts w:cs="Arial"/>
                <w:sz w:val="16"/>
                <w:szCs w:val="16"/>
                <w:lang w:val="es"/>
              </w:rPr>
              <w:t>3%</w:t>
            </w:r>
          </w:p>
        </w:tc>
      </w:tr>
      <w:tr w:rsidR="001E5340" w:rsidRPr="00AA33B2" w14:paraId="0568334A" w14:textId="77777777" w:rsidTr="00F139E5">
        <w:trPr>
          <w:trHeight w:val="283"/>
        </w:trPr>
        <w:tc>
          <w:tcPr>
            <w:tcW w:w="5529" w:type="dxa"/>
            <w:gridSpan w:val="6"/>
            <w:shd w:val="clear" w:color="auto" w:fill="006747"/>
          </w:tcPr>
          <w:p w14:paraId="29498B0D" w14:textId="77777777" w:rsidR="001E5340" w:rsidRPr="00AE7351" w:rsidRDefault="001E5340" w:rsidP="00F139E5">
            <w:pPr>
              <w:pStyle w:val="KIIDtext1"/>
              <w:autoSpaceDE w:val="0"/>
              <w:autoSpaceDN w:val="0"/>
              <w:adjustRightInd w:val="0"/>
              <w:spacing w:after="0" w:line="200" w:lineRule="exact"/>
              <w:rPr>
                <w:rFonts w:cs="Arial"/>
                <w:b/>
                <w:color w:val="FFFFFF"/>
                <w:spacing w:val="-2"/>
                <w:sz w:val="16"/>
                <w:szCs w:val="16"/>
                <w:lang w:val="es-ES"/>
              </w:rPr>
            </w:pPr>
            <w:r w:rsidRPr="00AE7351">
              <w:rPr>
                <w:rFonts w:cs="Arial"/>
                <w:b/>
                <w:bCs/>
                <w:color w:val="FFFFFF"/>
                <w:sz w:val="16"/>
                <w:szCs w:val="16"/>
                <w:lang w:val="es"/>
              </w:rPr>
              <w:t>Gastos detraídos del fondo en determinadas condiciones específicas</w:t>
            </w:r>
          </w:p>
        </w:tc>
      </w:tr>
      <w:tr w:rsidR="001E5340" w:rsidRPr="00AA33B2" w14:paraId="57505BB4" w14:textId="77777777" w:rsidTr="00F139E5">
        <w:trPr>
          <w:trHeight w:val="1266"/>
        </w:trPr>
        <w:tc>
          <w:tcPr>
            <w:tcW w:w="2268" w:type="dxa"/>
            <w:gridSpan w:val="2"/>
            <w:tcBorders>
              <w:bottom w:val="single" w:sz="8" w:space="0" w:color="CCE1DA"/>
            </w:tcBorders>
            <w:shd w:val="clear" w:color="auto" w:fill="CCE1DA"/>
            <w:vAlign w:val="center"/>
          </w:tcPr>
          <w:p w14:paraId="09844EE4" w14:textId="786AC5FF" w:rsidR="001E5340" w:rsidRPr="00AE7351" w:rsidRDefault="001E5340" w:rsidP="00F139E5">
            <w:pPr>
              <w:pStyle w:val="KIIDtext1"/>
              <w:autoSpaceDE w:val="0"/>
              <w:autoSpaceDN w:val="0"/>
              <w:adjustRightInd w:val="0"/>
              <w:rPr>
                <w:rFonts w:cs="Arial"/>
                <w:b/>
                <w:color w:val="006747"/>
                <w:sz w:val="16"/>
                <w:szCs w:val="16"/>
              </w:rPr>
            </w:pPr>
            <w:r w:rsidRPr="00AE7351">
              <w:rPr>
                <w:rFonts w:cs="Arial"/>
                <w:b/>
                <w:bCs/>
                <w:color w:val="006747"/>
                <w:sz w:val="16"/>
                <w:szCs w:val="16"/>
                <w:lang w:val="es"/>
              </w:rPr>
              <w:t>Comisión de rentabilidad</w:t>
            </w:r>
          </w:p>
        </w:tc>
        <w:tc>
          <w:tcPr>
            <w:tcW w:w="3261" w:type="dxa"/>
            <w:gridSpan w:val="4"/>
            <w:tcBorders>
              <w:bottom w:val="single" w:sz="8" w:space="0" w:color="CCE1DA"/>
              <w:right w:val="single" w:sz="8" w:space="0" w:color="CCE1DA"/>
            </w:tcBorders>
            <w:shd w:val="clear" w:color="auto" w:fill="auto"/>
            <w:vAlign w:val="center"/>
          </w:tcPr>
          <w:p w14:paraId="33D32C5D" w14:textId="77777777" w:rsidR="001E5340" w:rsidRPr="00AE7351" w:rsidRDefault="001E5340" w:rsidP="00F139E5">
            <w:pPr>
              <w:pStyle w:val="KIIDtext1"/>
              <w:autoSpaceDE w:val="0"/>
              <w:autoSpaceDN w:val="0"/>
              <w:adjustRightInd w:val="0"/>
              <w:spacing w:line="180" w:lineRule="exact"/>
              <w:rPr>
                <w:rFonts w:cs="Arial"/>
                <w:sz w:val="16"/>
                <w:szCs w:val="16"/>
                <w:lang w:val="es-ES"/>
              </w:rPr>
            </w:pPr>
            <w:r w:rsidRPr="00AE7351">
              <w:rPr>
                <w:rFonts w:cs="Arial"/>
                <w:sz w:val="16"/>
                <w:szCs w:val="16"/>
                <w:lang w:val="es"/>
              </w:rPr>
              <w:t>10% sobre una cota máxima/rentabilidad mínima</w:t>
            </w:r>
          </w:p>
          <w:p w14:paraId="4759B3B7" w14:textId="2A4665A0" w:rsidR="001E5340" w:rsidRPr="00A573AF" w:rsidRDefault="001E5340" w:rsidP="00F139E5">
            <w:pPr>
              <w:pStyle w:val="KIIDtext1"/>
              <w:autoSpaceDE w:val="0"/>
              <w:autoSpaceDN w:val="0"/>
              <w:adjustRightInd w:val="0"/>
              <w:spacing w:after="0" w:line="170" w:lineRule="exact"/>
              <w:rPr>
                <w:rFonts w:cs="Arial"/>
                <w:sz w:val="14"/>
                <w:szCs w:val="14"/>
                <w:lang w:val="es-ES"/>
              </w:rPr>
            </w:pPr>
            <w:r w:rsidRPr="00A573AF">
              <w:rPr>
                <w:rFonts w:cs="Arial"/>
                <w:sz w:val="14"/>
                <w:szCs w:val="14"/>
                <w:lang w:val="es"/>
              </w:rPr>
              <w:t xml:space="preserve">Rentabilidad mínima: SONIA en </w:t>
            </w:r>
            <w:r w:rsidR="007C2ADB">
              <w:rPr>
                <w:rFonts w:cs="Arial"/>
                <w:sz w:val="14"/>
                <w:szCs w:val="14"/>
                <w:lang w:val="es"/>
              </w:rPr>
              <w:t>GBP para las Acciones E2 GBP</w:t>
            </w:r>
            <w:r w:rsidRPr="00A573AF">
              <w:rPr>
                <w:rFonts w:cs="Arial"/>
                <w:sz w:val="14"/>
                <w:szCs w:val="14"/>
                <w:lang w:val="es"/>
              </w:rPr>
              <w:t xml:space="preserve"> y el US LIB</w:t>
            </w:r>
            <w:r w:rsidR="007C2ADB">
              <w:rPr>
                <w:rFonts w:cs="Arial"/>
                <w:sz w:val="14"/>
                <w:szCs w:val="14"/>
                <w:lang w:val="es"/>
              </w:rPr>
              <w:t>OR a 90 días para las Acciones E2</w:t>
            </w:r>
            <w:r w:rsidRPr="00A573AF">
              <w:rPr>
                <w:rFonts w:cs="Arial"/>
                <w:sz w:val="14"/>
                <w:szCs w:val="14"/>
                <w:lang w:val="es"/>
              </w:rPr>
              <w:t xml:space="preserve"> USD</w:t>
            </w:r>
          </w:p>
        </w:tc>
      </w:tr>
    </w:tbl>
    <w:p w14:paraId="1182EDA0" w14:textId="2F0536D2" w:rsidR="005B6E23" w:rsidRDefault="00A573AF">
      <w:pPr>
        <w:widowControl/>
        <w:spacing w:after="160" w:line="259" w:lineRule="auto"/>
        <w:jc w:val="left"/>
      </w:pPr>
      <w:r>
        <w:rPr>
          <w:noProof/>
          <w:lang w:val="de-DE" w:eastAsia="ja-JP"/>
        </w:rPr>
        <mc:AlternateContent>
          <mc:Choice Requires="wps">
            <w:drawing>
              <wp:anchor distT="0" distB="0" distL="114300" distR="114300" simplePos="0" relativeHeight="251706368" behindDoc="1" locked="0" layoutInCell="1" allowOverlap="1" wp14:anchorId="5F4798A8" wp14:editId="7B98BF2D">
                <wp:simplePos x="0" y="0"/>
                <wp:positionH relativeFrom="column">
                  <wp:posOffset>2733675</wp:posOffset>
                </wp:positionH>
                <wp:positionV relativeFrom="paragraph">
                  <wp:posOffset>-354965</wp:posOffset>
                </wp:positionV>
                <wp:extent cx="3644265" cy="2990850"/>
                <wp:effectExtent l="0" t="0" r="13335" b="19050"/>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265" cy="299085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49F259AB" w14:textId="0CADC8B9" w:rsidR="000D6449" w:rsidRDefault="000D6449" w:rsidP="001E5340">
                            <w:pPr>
                              <w:spacing w:after="180" w:line="228" w:lineRule="auto"/>
                              <w:rPr>
                                <w:color w:val="767171" w:themeColor="background2" w:themeShade="80"/>
                                <w:sz w:val="16"/>
                                <w:szCs w:val="17"/>
                                <w:lang w:val="es-ES"/>
                              </w:rPr>
                            </w:pPr>
                          </w:p>
                          <w:p w14:paraId="5048F399" w14:textId="77777777" w:rsidR="000D6449" w:rsidRPr="001E5340" w:rsidRDefault="000D6449" w:rsidP="001E5340">
                            <w:pPr>
                              <w:spacing w:after="180" w:line="228" w:lineRule="auto"/>
                              <w:rPr>
                                <w:color w:val="767171" w:themeColor="background2" w:themeShade="80"/>
                                <w:sz w:val="16"/>
                                <w:szCs w:val="17"/>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215.25pt;margin-top:-27.95pt;width:286.95pt;height:235.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" filled="f" strokecolor="#006747">
                <v:textbox>
                  <w:txbxContent>
                    <w:p w14:paraId="49F259AB" w14:textId="0CADC8B9" w:rsidR="000D6449" w:rsidRDefault="000D6449" w:rsidP="001E5340">
                      <w:pPr>
                        <w:spacing w:after="180" w:line="228" w:lineRule="auto"/>
                        <w:rPr>
                          <w:color w:val="767171" w:themeColor="background2" w:themeShade="80"/>
                          <w:sz w:val="16"/>
                          <w:szCs w:val="17"/>
                          <w:lang w:val="es-ES"/>
                        </w:rPr>
                      </w:pPr>
                    </w:p>
                    <w:p w14:paraId="5048F399" w14:textId="77777777" w:rsidR="000D6449" w:rsidRPr="001E5340" w:rsidRDefault="000D6449" w:rsidP="001E5340">
                      <w:pPr>
                        <w:spacing w:after="180" w:line="228" w:lineRule="auto"/>
                        <w:rPr>
                          <w:color w:val="767171" w:themeColor="background2" w:themeShade="80"/>
                          <w:sz w:val="16"/>
                          <w:szCs w:val="17"/>
                          <w:lang w:val="es-ES"/>
                        </w:rPr>
                      </w:pPr>
                    </w:p>
                  </w:txbxContent>
                </v:textbox>
              </v:rect>
            </w:pict>
          </mc:Fallback>
        </mc:AlternateContent>
      </w:r>
      <w:r>
        <w:rPr>
          <w:noProof/>
          <w:lang w:val="de-DE" w:eastAsia="ja-JP"/>
        </w:rPr>
        <mc:AlternateContent>
          <mc:Choice Requires="wps">
            <w:drawing>
              <wp:anchor distT="0" distB="0" distL="114300" distR="114300" simplePos="0" relativeHeight="251674624" behindDoc="0" locked="0" layoutInCell="1" allowOverlap="1" wp14:anchorId="18404AF7" wp14:editId="1BC41D4D">
                <wp:simplePos x="0" y="0"/>
                <wp:positionH relativeFrom="column">
                  <wp:posOffset>-541020</wp:posOffset>
                </wp:positionH>
                <wp:positionV relativeFrom="paragraph">
                  <wp:posOffset>-396240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77777777" w:rsidR="000D6449" w:rsidRPr="006F31C1" w:rsidRDefault="000D6449"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7" type="#_x0000_t202" style="position:absolute;margin-left:-42.6pt;margin-top:-31.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4g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" stroked="f">
                <v:textbox>
                  <w:txbxContent>
                    <w:p w14:paraId="6806782D" w14:textId="77777777" w:rsidR="000D6449" w:rsidRPr="006F31C1" w:rsidRDefault="000D6449"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v:textbox>
              </v:shape>
            </w:pict>
          </mc:Fallback>
        </mc:AlternateContent>
      </w:r>
      <w:r>
        <w:rPr>
          <w:noProof/>
          <w:lang w:val="de-DE" w:eastAsia="ja-JP"/>
        </w:rPr>
        <mc:AlternateContent>
          <mc:Choice Requires="wps">
            <w:drawing>
              <wp:anchor distT="0" distB="0" distL="114300" distR="114300" simplePos="0" relativeHeight="251658239" behindDoc="0" locked="0" layoutInCell="1" allowOverlap="1" wp14:anchorId="314135DF" wp14:editId="7614E290">
                <wp:simplePos x="0" y="0"/>
                <wp:positionH relativeFrom="column">
                  <wp:posOffset>-514350</wp:posOffset>
                </wp:positionH>
                <wp:positionV relativeFrom="paragraph">
                  <wp:posOffset>-173990</wp:posOffset>
                </wp:positionV>
                <wp:extent cx="3248025" cy="24860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86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0B5D3364" w:rsidR="000D6449" w:rsidRPr="00AE7351" w:rsidRDefault="000D6449" w:rsidP="00A545B1">
                            <w:pPr>
                              <w:pStyle w:val="KIIDtext1"/>
                              <w:rPr>
                                <w:rFonts w:cs="Arial"/>
                                <w:sz w:val="16"/>
                                <w:szCs w:val="16"/>
                                <w:lang w:val="es-ES"/>
                              </w:rPr>
                            </w:pPr>
                            <w:r w:rsidRPr="008335CB">
                              <w:rPr>
                                <w:rFonts w:cs="Arial"/>
                                <w:sz w:val="16"/>
                                <w:szCs w:val="16"/>
                                <w:lang w:val="es"/>
                              </w:rPr>
                              <w:t xml:space="preserve">Los </w:t>
                            </w:r>
                            <w:r w:rsidRPr="00AE7351">
                              <w:rPr>
                                <w:rFonts w:cs="Arial"/>
                                <w:sz w:val="16"/>
                                <w:szCs w:val="16"/>
                                <w:lang w:val="es"/>
                              </w:rPr>
                              <w:t>gastos de entrada que se indican constituyen una cifra máxima. Puede que usted pague menos en algunos casos. Su asesor financiero puede informarle en caso de que sea así.</w:t>
                            </w:r>
                          </w:p>
                          <w:p w14:paraId="4DAAD2B9" w14:textId="15334360" w:rsidR="000D6449" w:rsidRPr="00AE7351" w:rsidRDefault="000D6449" w:rsidP="005D031A">
                            <w:pPr>
                              <w:pStyle w:val="KIIDtext1"/>
                              <w:rPr>
                                <w:rFonts w:cs="Arial"/>
                                <w:sz w:val="16"/>
                                <w:szCs w:val="16"/>
                                <w:lang w:val="es-ES"/>
                              </w:rPr>
                            </w:pPr>
                            <w:r w:rsidRPr="00AE7351">
                              <w:rPr>
                                <w:rFonts w:cs="Arial"/>
                                <w:sz w:val="16"/>
                                <w:szCs w:val="16"/>
                                <w:lang w:val="es"/>
                              </w:rPr>
                              <w:t>La cifra de gastos corrientes estimada se basa en los gastos máximos correspondientes al ejercicio que concluyó el 31 de diciembre de 2021 basada en la anterior entidad de Salar Fund. Esta cifra puede variar de un año a otro. Esta excluye:</w:t>
                            </w:r>
                          </w:p>
                          <w:p w14:paraId="2C15737C" w14:textId="29C403B5" w:rsidR="000D6449" w:rsidRPr="00AE7351" w:rsidRDefault="000D6449" w:rsidP="00EC7D6F">
                            <w:pPr>
                              <w:pStyle w:val="KIIDtext1"/>
                              <w:rPr>
                                <w:rFonts w:cs="Arial"/>
                                <w:sz w:val="16"/>
                                <w:szCs w:val="16"/>
                                <w:lang w:val="es-ES"/>
                              </w:rPr>
                            </w:pPr>
                            <w:r w:rsidRPr="00AE7351">
                              <w:rPr>
                                <w:rFonts w:cs="Arial"/>
                                <w:sz w:val="16"/>
                                <w:szCs w:val="16"/>
                                <w:lang w:val="es"/>
                              </w:rPr>
                              <w:t xml:space="preserve">comisiones de rentabilidad, 10% de la rentabilidad superior del Fondo con respecto a un tipo de rentabilidad mínima específico para la divisa (véase el cuadro) que se acumula a diario. </w:t>
                            </w:r>
                          </w:p>
                          <w:p w14:paraId="452EE53E" w14:textId="63AA2DF7" w:rsidR="000D6449" w:rsidRPr="008335CB" w:rsidRDefault="000D6449" w:rsidP="00EC7D6F">
                            <w:pPr>
                              <w:pStyle w:val="KIIDtext1"/>
                              <w:rPr>
                                <w:sz w:val="16"/>
                                <w:szCs w:val="16"/>
                                <w:lang w:val="es-ES"/>
                              </w:rPr>
                            </w:pPr>
                            <w:r w:rsidRPr="00AE7351">
                              <w:rPr>
                                <w:sz w:val="16"/>
                                <w:szCs w:val="16"/>
                                <w:lang w:val="es"/>
                              </w:rPr>
                              <w:t>Para obtener información completa sobre los gastos aplicables al Fondo debe remitirse a la sección sobre comisiones y gastos del Folleto y del Suplemento.</w:t>
                            </w:r>
                            <w:r w:rsidRPr="008335CB">
                              <w:rPr>
                                <w:sz w:val="16"/>
                                <w:szCs w:val="16"/>
                                <w:lang w:val="e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8" type="#_x0000_t202" style="position:absolute;margin-left:-40.5pt;margin-top:-13.7pt;width:255.75pt;height:195.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" stroked="f">
                <v:textbox>
                  <w:txbxContent>
                    <w:p w14:paraId="08E2E970" w14:textId="0B5D3364" w:rsidR="000D6449" w:rsidRPr="00AE7351" w:rsidRDefault="000D6449" w:rsidP="00A545B1">
                      <w:pPr>
                        <w:pStyle w:val="KIIDtext1"/>
                        <w:rPr>
                          <w:rFonts w:cs="Arial"/>
                          <w:sz w:val="16"/>
                          <w:szCs w:val="16"/>
                          <w:lang w:val="es-ES"/>
                        </w:rPr>
                      </w:pPr>
                      <w:r w:rsidRPr="008335CB">
                        <w:rPr>
                          <w:rFonts w:cs="Arial"/>
                          <w:sz w:val="16"/>
                          <w:szCs w:val="16"/>
                          <w:lang w:val="es"/>
                        </w:rPr>
                        <w:t xml:space="preserve">Los </w:t>
                      </w:r>
                      <w:r w:rsidRPr="00AE7351">
                        <w:rPr>
                          <w:rFonts w:cs="Arial"/>
                          <w:sz w:val="16"/>
                          <w:szCs w:val="16"/>
                          <w:lang w:val="es"/>
                        </w:rPr>
                        <w:t>gastos de entrada que se indican constituyen una cifra máxima. Puede que usted pague menos en algunos casos. Su asesor financiero puede informarle en caso de que sea así.</w:t>
                      </w:r>
                    </w:p>
                    <w:p w14:paraId="4DAAD2B9" w14:textId="15334360" w:rsidR="000D6449" w:rsidRPr="00AE7351" w:rsidRDefault="000D6449" w:rsidP="005D031A">
                      <w:pPr>
                        <w:pStyle w:val="KIIDtext1"/>
                        <w:rPr>
                          <w:rFonts w:cs="Arial"/>
                          <w:sz w:val="16"/>
                          <w:szCs w:val="16"/>
                          <w:lang w:val="es-ES"/>
                        </w:rPr>
                      </w:pPr>
                      <w:r w:rsidRPr="00AE7351">
                        <w:rPr>
                          <w:rFonts w:cs="Arial"/>
                          <w:sz w:val="16"/>
                          <w:szCs w:val="16"/>
                          <w:lang w:val="es"/>
                        </w:rPr>
                        <w:t>La cifra de gastos corrientes estimada se basa en los gastos máximos correspondientes al ejercicio que concluyó el 31 de diciembre de 2021 basada en la anterior entidad de Salar Fund. Esta cifra puede variar de un año a otro. Esta excluye:</w:t>
                      </w:r>
                    </w:p>
                    <w:p w14:paraId="2C15737C" w14:textId="29C403B5" w:rsidR="000D6449" w:rsidRPr="00AE7351" w:rsidRDefault="000D6449" w:rsidP="00EC7D6F">
                      <w:pPr>
                        <w:pStyle w:val="KIIDtext1"/>
                        <w:rPr>
                          <w:rFonts w:cs="Arial"/>
                          <w:sz w:val="16"/>
                          <w:szCs w:val="16"/>
                          <w:lang w:val="es-ES"/>
                        </w:rPr>
                      </w:pPr>
                      <w:r w:rsidRPr="00AE7351">
                        <w:rPr>
                          <w:rFonts w:cs="Arial"/>
                          <w:sz w:val="16"/>
                          <w:szCs w:val="16"/>
                          <w:lang w:val="es"/>
                        </w:rPr>
                        <w:t xml:space="preserve">comisiones de rentabilidad, 10% de la rentabilidad superior del Fondo con respecto a un tipo de rentabilidad mínima específico para la divisa (véase el cuadro) que se acumula a diario. </w:t>
                      </w:r>
                    </w:p>
                    <w:p w14:paraId="452EE53E" w14:textId="63AA2DF7" w:rsidR="000D6449" w:rsidRPr="008335CB" w:rsidRDefault="000D6449" w:rsidP="00EC7D6F">
                      <w:pPr>
                        <w:pStyle w:val="KIIDtext1"/>
                        <w:rPr>
                          <w:sz w:val="16"/>
                          <w:szCs w:val="16"/>
                          <w:lang w:val="es-ES"/>
                        </w:rPr>
                      </w:pPr>
                      <w:r w:rsidRPr="00AE7351">
                        <w:rPr>
                          <w:sz w:val="16"/>
                          <w:szCs w:val="16"/>
                          <w:lang w:val="es"/>
                        </w:rPr>
                        <w:t>Para obtener información completa sobre los gastos aplicables al Fondo debe remitirse a la sección sobre comisiones y gastos del Folleto y del Suplemento.</w:t>
                      </w:r>
                      <w:r w:rsidRPr="008335CB">
                        <w:rPr>
                          <w:sz w:val="16"/>
                          <w:szCs w:val="16"/>
                          <w:lang w:val="es"/>
                        </w:rPr>
                        <w:t xml:space="preserve"> </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333ABBBD" w:rsidR="00CB0F6B" w:rsidRDefault="00A573AF">
      <w:pPr>
        <w:widowControl/>
        <w:spacing w:after="160" w:line="259" w:lineRule="auto"/>
        <w:jc w:val="left"/>
      </w:pPr>
      <w:r>
        <w:rPr>
          <w:noProof/>
          <w:lang w:val="de-DE" w:eastAsia="ja-JP"/>
        </w:rPr>
        <mc:AlternateContent>
          <mc:Choice Requires="wps">
            <w:drawing>
              <wp:anchor distT="0" distB="0" distL="114300" distR="114300" simplePos="0" relativeHeight="251707392" behindDoc="0" locked="0" layoutInCell="1" allowOverlap="1" wp14:anchorId="455956F2" wp14:editId="2DD9AB5A">
                <wp:simplePos x="0" y="0"/>
                <wp:positionH relativeFrom="column">
                  <wp:posOffset>2800350</wp:posOffset>
                </wp:positionH>
                <wp:positionV relativeFrom="paragraph">
                  <wp:posOffset>180975</wp:posOffset>
                </wp:positionV>
                <wp:extent cx="3525520" cy="381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2552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59DB2" w14:textId="702BC5FE" w:rsidR="000D6449" w:rsidRPr="001E5340" w:rsidRDefault="000D6449" w:rsidP="00185913">
                            <w:pPr>
                              <w:spacing w:after="180" w:line="230" w:lineRule="auto"/>
                              <w:ind w:right="227"/>
                              <w:rPr>
                                <w:color w:val="767171" w:themeColor="background2" w:themeShade="80"/>
                                <w:sz w:val="16"/>
                                <w:szCs w:val="17"/>
                                <w:lang w:val="es-ES"/>
                              </w:rPr>
                            </w:pPr>
                            <w:r>
                              <w:rPr>
                                <w:color w:val="767171" w:themeColor="background2" w:themeShade="80"/>
                                <w:sz w:val="16"/>
                                <w:szCs w:val="17"/>
                                <w:lang w:val="es"/>
                              </w:rPr>
                              <w:t>Los gastos que usted soporta se destinan a sufragar los costes de funcionamiento del Fondo, incluidos los de comercialización y distribución. Estos gastos reducen el potencial de crecimiento de su inversión.</w:t>
                            </w:r>
                          </w:p>
                          <w:p w14:paraId="434E72B3" w14:textId="77777777" w:rsidR="000D6449" w:rsidRDefault="000D644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956F2" id="Text Box 7" o:spid="_x0000_s1039" type="#_x0000_t202" style="position:absolute;margin-left:220.5pt;margin-top:14.25pt;width:277.6pt;height:3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" fillcolor="white [3201]" stroked="f" strokeweight=".5pt">
                <v:textbox inset="0,0,0,0">
                  <w:txbxContent>
                    <w:p w14:paraId="3A459DB2" w14:textId="702BC5FE" w:rsidR="000D6449" w:rsidRPr="001E5340" w:rsidRDefault="000D6449" w:rsidP="00185913">
                      <w:pPr>
                        <w:spacing w:after="180" w:line="230" w:lineRule="auto"/>
                        <w:ind w:right="227"/>
                        <w:rPr>
                          <w:color w:val="767171" w:themeColor="background2" w:themeShade="80"/>
                          <w:sz w:val="16"/>
                          <w:szCs w:val="17"/>
                          <w:lang w:val="es-ES"/>
                        </w:rPr>
                      </w:pPr>
                      <w:r>
                        <w:rPr>
                          <w:color w:val="767171" w:themeColor="background2" w:themeShade="80"/>
                          <w:sz w:val="16"/>
                          <w:szCs w:val="17"/>
                          <w:lang w:val="es"/>
                        </w:rPr>
                        <w:t>Los gastos que usted soporta se destinan a sufragar los costes de funcionamiento del Fondo, incluidos los de comercialización y distribución. Estos gastos reducen el potencial de crecimiento de su inversión.</w:t>
                      </w:r>
                    </w:p>
                    <w:p w14:paraId="434E72B3" w14:textId="77777777" w:rsidR="000D6449" w:rsidRDefault="000D6449"/>
                  </w:txbxContent>
                </v:textbox>
              </v:shape>
            </w:pict>
          </mc:Fallback>
        </mc:AlternateContent>
      </w:r>
    </w:p>
    <w:p w14:paraId="69D20D1C" w14:textId="30AE4230" w:rsidR="00F631E3" w:rsidRDefault="00F139E5">
      <w:pPr>
        <w:widowControl/>
        <w:spacing w:after="160" w:line="259" w:lineRule="auto"/>
        <w:jc w:val="left"/>
      </w:pPr>
      <w:r>
        <w:rPr>
          <w:noProof/>
          <w:color w:val="000000"/>
          <w:lang w:val="de-DE" w:eastAsia="ja-JP"/>
        </w:rPr>
        <mc:AlternateContent>
          <mc:Choice Requires="wps">
            <w:drawing>
              <wp:anchor distT="0" distB="0" distL="114300" distR="114300" simplePos="0" relativeHeight="251680768" behindDoc="0" locked="0" layoutInCell="1" allowOverlap="1" wp14:anchorId="2ED6B05F" wp14:editId="096A9C83">
                <wp:simplePos x="0" y="0"/>
                <wp:positionH relativeFrom="margin">
                  <wp:posOffset>-506095</wp:posOffset>
                </wp:positionH>
                <wp:positionV relativeFrom="paragraph">
                  <wp:posOffset>337185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E402F7" id="_x0000_t32" coordsize="21600,21600" o:spt="32" o:oned="t" path="m,l21600,21600e" filled="f">
                <v:path arrowok="t" fillok="f" o:connecttype="none"/>
                <o:lock v:ext="edit" shapetype="t"/>
              </v:shapetype>
              <v:shape id="AutoShape 129" o:spid="_x0000_s1026" type="#_x0000_t32" style="position:absolute;margin-left:-39.85pt;margin-top:26.5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" strokecolor="#006747">
                <w10:wrap anchorx="margin"/>
              </v:shape>
            </w:pict>
          </mc:Fallback>
        </mc:AlternateContent>
      </w:r>
    </w:p>
    <w:p w14:paraId="4FE81C06" w14:textId="535AF339" w:rsidR="009813A8" w:rsidRDefault="00F139E5">
      <w:pPr>
        <w:widowControl/>
        <w:spacing w:after="160" w:line="259" w:lineRule="auto"/>
        <w:jc w:val="left"/>
        <w:rPr>
          <w:noProof/>
        </w:rPr>
      </w:pPr>
      <w:r>
        <w:rPr>
          <w:noProof/>
          <w:lang w:val="de-DE" w:eastAsia="ja-JP"/>
        </w:rPr>
        <mc:AlternateContent>
          <mc:Choice Requires="wps">
            <w:drawing>
              <wp:anchor distT="0" distB="0" distL="114300" distR="114300" simplePos="0" relativeHeight="251682816" behindDoc="0" locked="0" layoutInCell="1" allowOverlap="1" wp14:anchorId="0E57E85D" wp14:editId="5CE00E71">
                <wp:simplePos x="0" y="0"/>
                <wp:positionH relativeFrom="column">
                  <wp:posOffset>-485775</wp:posOffset>
                </wp:positionH>
                <wp:positionV relativeFrom="paragraph">
                  <wp:posOffset>126365</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77777777" w:rsidR="000D6449" w:rsidRPr="006F31C1" w:rsidRDefault="000D6449" w:rsidP="00547654">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Rentabilidad histórica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40" type="#_x0000_t202" style="position:absolute;margin-left:-38.25pt;margin-top:9.9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g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" stroked="f">
                <v:textbox>
                  <w:txbxContent>
                    <w:p w14:paraId="790DA84A" w14:textId="77777777" w:rsidR="000D6449" w:rsidRPr="006F31C1" w:rsidRDefault="000D6449" w:rsidP="00547654">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Rentabilidad histórica</w:t>
                      </w:r>
                    </w:p>
                  </w:txbxContent>
                </v:textbox>
              </v:shape>
            </w:pict>
          </mc:Fallback>
        </mc:AlternateContent>
      </w:r>
      <w:r>
        <w:rPr>
          <w:noProof/>
          <w:lang w:val="de-DE" w:eastAsia="ja-JP"/>
        </w:rPr>
        <w:drawing>
          <wp:anchor distT="0" distB="0" distL="114300" distR="114300" simplePos="0" relativeHeight="251655164" behindDoc="0" locked="0" layoutInCell="1" allowOverlap="1" wp14:anchorId="51EF51BA" wp14:editId="6331A327">
            <wp:simplePos x="0" y="0"/>
            <wp:positionH relativeFrom="column">
              <wp:posOffset>0</wp:posOffset>
            </wp:positionH>
            <wp:positionV relativeFrom="paragraph">
              <wp:posOffset>329565</wp:posOffset>
            </wp:positionV>
            <wp:extent cx="5731510" cy="151320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1513205"/>
                    </a:xfrm>
                    <a:prstGeom prst="rect">
                      <a:avLst/>
                    </a:prstGeom>
                  </pic:spPr>
                </pic:pic>
              </a:graphicData>
            </a:graphic>
            <wp14:sizeRelH relativeFrom="page">
              <wp14:pctWidth>0</wp14:pctWidth>
            </wp14:sizeRelH>
            <wp14:sizeRelV relativeFrom="page">
              <wp14:pctHeight>0</wp14:pctHeight>
            </wp14:sizeRelV>
          </wp:anchor>
        </w:drawing>
      </w:r>
    </w:p>
    <w:p w14:paraId="7D153BAF" w14:textId="05F893B1" w:rsidR="00D91E47" w:rsidRDefault="00F139E5" w:rsidP="009813A8">
      <w:pPr>
        <w:widowControl/>
        <w:spacing w:after="160" w:line="259" w:lineRule="auto"/>
      </w:pPr>
      <w:r>
        <w:rPr>
          <w:noProof/>
          <w:lang w:val="de-DE" w:eastAsia="ja-JP"/>
        </w:rPr>
        <mc:AlternateContent>
          <mc:Choice Requires="wps">
            <w:drawing>
              <wp:anchor distT="0" distB="0" distL="114300" distR="114300" simplePos="0" relativeHeight="251657214" behindDoc="0" locked="0" layoutInCell="1" allowOverlap="1" wp14:anchorId="652E6D33" wp14:editId="7E887A8D">
                <wp:simplePos x="0" y="0"/>
                <wp:positionH relativeFrom="column">
                  <wp:posOffset>-581025</wp:posOffset>
                </wp:positionH>
                <wp:positionV relativeFrom="paragraph">
                  <wp:posOffset>1603375</wp:posOffset>
                </wp:positionV>
                <wp:extent cx="7086600" cy="56197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75653E50" w:rsidR="000D6449" w:rsidRPr="008335CB" w:rsidRDefault="000D6449" w:rsidP="00F139E5">
                            <w:pPr>
                              <w:pStyle w:val="KIIDtext1"/>
                              <w:spacing w:line="200" w:lineRule="exact"/>
                              <w:rPr>
                                <w:rFonts w:ascii="ArialMT" w:eastAsiaTheme="minorHAnsi" w:hAnsi="ArialMT" w:cs="ArialMT"/>
                                <w:sz w:val="14"/>
                                <w:szCs w:val="14"/>
                                <w:lang w:val="es-ES"/>
                              </w:rPr>
                            </w:pPr>
                            <w:bookmarkStart w:id="0" w:name="_Hlk106031432"/>
                            <w:bookmarkStart w:id="1" w:name="_Hlk106031433"/>
                            <w:bookmarkStart w:id="2" w:name="_Hlk106031434"/>
                            <w:bookmarkStart w:id="3" w:name="_Hlk106031435"/>
                            <w:r>
                              <w:rPr>
                                <w:rFonts w:ascii="ArialMT" w:eastAsiaTheme="minorHAnsi" w:hAnsi="ArialMT" w:cs="ArialMT"/>
                                <w:sz w:val="14"/>
                                <w:szCs w:val="14"/>
                                <w:lang w:val="es"/>
                              </w:rPr>
                              <w:t xml:space="preserve">El porcentaje de rentabilidad histórica que se indica en los anteriores gráficos incluye todos los gastos operativos y de gestión en los que han incurrido las Acciones de Clase </w:t>
                            </w:r>
                            <w:r w:rsidR="007C2ADB">
                              <w:rPr>
                                <w:rFonts w:ascii="ArialMT" w:eastAsiaTheme="minorHAnsi" w:hAnsi="ArialMT" w:cs="ArialMT"/>
                                <w:sz w:val="14"/>
                                <w:szCs w:val="14"/>
                                <w:lang w:val="es"/>
                              </w:rPr>
                              <w:t xml:space="preserve">E2 </w:t>
                            </w:r>
                            <w:r w:rsidR="007C2ADB" w:rsidRPr="00DA4E04">
                              <w:rPr>
                                <w:rFonts w:ascii="ArialMT" w:eastAsiaTheme="minorHAnsi" w:hAnsi="ArialMT" w:cs="ArialMT"/>
                                <w:sz w:val="14"/>
                                <w:szCs w:val="14"/>
                                <w:lang w:val="es"/>
                              </w:rPr>
                              <w:t>Acumulación</w:t>
                            </w:r>
                            <w:r w:rsidR="007C2ADB">
                              <w:rPr>
                                <w:rFonts w:ascii="ArialMT" w:eastAsiaTheme="minorHAnsi" w:hAnsi="ArialMT" w:cs="ArialMT"/>
                                <w:sz w:val="14"/>
                                <w:szCs w:val="14"/>
                                <w:lang w:val="es"/>
                              </w:rPr>
                              <w:t xml:space="preserve"> </w:t>
                            </w:r>
                            <w:r>
                              <w:rPr>
                                <w:rFonts w:ascii="ArialMT" w:eastAsiaTheme="minorHAnsi" w:hAnsi="ArialMT" w:cs="ArialMT"/>
                                <w:sz w:val="14"/>
                                <w:szCs w:val="14"/>
                                <w:lang w:val="es"/>
                              </w:rPr>
                              <w:t xml:space="preserve">del </w:t>
                            </w:r>
                            <w:r w:rsidRPr="00AE7351">
                              <w:rPr>
                                <w:rFonts w:ascii="ArialMT" w:eastAsiaTheme="minorHAnsi" w:hAnsi="ArialMT" w:cs="ArialMT"/>
                                <w:sz w:val="14"/>
                                <w:szCs w:val="14"/>
                                <w:lang w:val="es"/>
                              </w:rPr>
                              <w:t xml:space="preserve">Fondo. La rentabilidad histórica no es necesariamente indicativa de la rentabilidad futura, los precios pueden fluctuar y puede que usted no recupere su inversión inicial. Dado que este fondo es una entidad receptora de nueva creación de una fusión de un fondo OICVM anterior, la rentabilidad histórica refleja el comportamiento de Salar Fund </w:t>
                            </w:r>
                            <w:proofErr w:type="spellStart"/>
                            <w:r w:rsidRPr="00AE7351">
                              <w:rPr>
                                <w:rFonts w:ascii="ArialMT" w:eastAsiaTheme="minorHAnsi" w:hAnsi="ArialMT" w:cs="ArialMT"/>
                                <w:sz w:val="14"/>
                                <w:szCs w:val="14"/>
                                <w:lang w:val="es"/>
                              </w:rPr>
                              <w:t>Plc</w:t>
                            </w:r>
                            <w:proofErr w:type="spellEnd"/>
                            <w:r w:rsidRPr="00AE7351">
                              <w:rPr>
                                <w:rFonts w:ascii="ArialMT" w:eastAsiaTheme="minorHAnsi" w:hAnsi="ArialMT" w:cs="ArialMT"/>
                                <w:sz w:val="14"/>
                                <w:szCs w:val="14"/>
                                <w:lang w:val="es"/>
                              </w:rPr>
                              <w:t>.</w:t>
                            </w:r>
                            <w:bookmarkEnd w:id="0"/>
                            <w:bookmarkEnd w:id="1"/>
                            <w:bookmarkEnd w:id="2"/>
                            <w:bookmarkEnd w:id="3"/>
                          </w:p>
                        </w:txbxContent>
                      </wps:txbx>
                      <wps:bodyPr rot="0" vert="horz" wrap="square" lIns="0" tIns="18000" rIns="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1" type="#_x0000_t202" style="position:absolute;left:0;text-align:left;margin-left:-45.75pt;margin-top:126.25pt;width:558pt;height:44.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" stroked="f">
                <v:textbox inset="0,.5mm,0,.5mm">
                  <w:txbxContent>
                    <w:p w14:paraId="18760CF8" w14:textId="75653E50" w:rsidR="000D6449" w:rsidRPr="008335CB" w:rsidRDefault="000D6449" w:rsidP="00F139E5">
                      <w:pPr>
                        <w:pStyle w:val="KIIDtext1"/>
                        <w:spacing w:line="200" w:lineRule="exact"/>
                        <w:rPr>
                          <w:rFonts w:ascii="ArialMT" w:eastAsiaTheme="minorHAnsi" w:hAnsi="ArialMT" w:cs="ArialMT"/>
                          <w:sz w:val="14"/>
                          <w:szCs w:val="14"/>
                          <w:lang w:val="es-ES"/>
                        </w:rPr>
                      </w:pPr>
                      <w:bookmarkStart w:id="4" w:name="_Hlk106031432"/>
                      <w:bookmarkStart w:id="5" w:name="_Hlk106031433"/>
                      <w:bookmarkStart w:id="6" w:name="_Hlk106031434"/>
                      <w:bookmarkStart w:id="7" w:name="_Hlk106031435"/>
                      <w:r>
                        <w:rPr>
                          <w:rFonts w:ascii="ArialMT" w:eastAsiaTheme="minorHAnsi" w:hAnsi="ArialMT" w:cs="ArialMT"/>
                          <w:sz w:val="14"/>
                          <w:szCs w:val="14"/>
                          <w:lang w:val="es"/>
                        </w:rPr>
                        <w:t xml:space="preserve">El porcentaje de rentabilidad histórica que se indica en los anteriores gráficos incluye todos los gastos operativos y de gestión en los que han incurrido las Acciones de Clase </w:t>
                      </w:r>
                      <w:r w:rsidR="007C2ADB">
                        <w:rPr>
                          <w:rFonts w:ascii="ArialMT" w:eastAsiaTheme="minorHAnsi" w:hAnsi="ArialMT" w:cs="ArialMT"/>
                          <w:sz w:val="14"/>
                          <w:szCs w:val="14"/>
                          <w:lang w:val="es"/>
                        </w:rPr>
                        <w:t xml:space="preserve">E2 </w:t>
                      </w:r>
                      <w:r w:rsidR="007C2ADB" w:rsidRPr="00DA4E04">
                        <w:rPr>
                          <w:rFonts w:ascii="ArialMT" w:eastAsiaTheme="minorHAnsi" w:hAnsi="ArialMT" w:cs="ArialMT"/>
                          <w:sz w:val="14"/>
                          <w:szCs w:val="14"/>
                          <w:lang w:val="es"/>
                        </w:rPr>
                        <w:t>Acumulación</w:t>
                      </w:r>
                      <w:r w:rsidR="007C2ADB">
                        <w:rPr>
                          <w:rFonts w:ascii="ArialMT" w:eastAsiaTheme="minorHAnsi" w:hAnsi="ArialMT" w:cs="ArialMT"/>
                          <w:sz w:val="14"/>
                          <w:szCs w:val="14"/>
                          <w:lang w:val="es"/>
                        </w:rPr>
                        <w:t xml:space="preserve"> </w:t>
                      </w:r>
                      <w:r>
                        <w:rPr>
                          <w:rFonts w:ascii="ArialMT" w:eastAsiaTheme="minorHAnsi" w:hAnsi="ArialMT" w:cs="ArialMT"/>
                          <w:sz w:val="14"/>
                          <w:szCs w:val="14"/>
                          <w:lang w:val="es"/>
                        </w:rPr>
                        <w:t xml:space="preserve">del </w:t>
                      </w:r>
                      <w:r w:rsidRPr="00AE7351">
                        <w:rPr>
                          <w:rFonts w:ascii="ArialMT" w:eastAsiaTheme="minorHAnsi" w:hAnsi="ArialMT" w:cs="ArialMT"/>
                          <w:sz w:val="14"/>
                          <w:szCs w:val="14"/>
                          <w:lang w:val="es"/>
                        </w:rPr>
                        <w:t>Fondo. La rentabilidad histórica no es necesariamente indicativa de la rentabilidad futura, los precios pueden fluctuar y puede que usted no recupere su inversión inicial. Dado que este fondo es una entidad receptora de nueva creación de una fusión de un fondo OICVM anterior, la rentabilidad histórica refleja el comportamiento de Salar Fund Plc.</w:t>
                      </w:r>
                      <w:bookmarkEnd w:id="4"/>
                      <w:bookmarkEnd w:id="5"/>
                      <w:bookmarkEnd w:id="6"/>
                      <w:bookmarkEnd w:id="7"/>
                    </w:p>
                  </w:txbxContent>
                </v:textbox>
              </v:shape>
            </w:pict>
          </mc:Fallback>
        </mc:AlternateContent>
      </w:r>
      <w:r w:rsidR="007F4CBB">
        <w:rPr>
          <w:noProof/>
          <w:lang w:val="es"/>
        </w:rPr>
        <w:t xml:space="preserve">  </w:t>
      </w:r>
    </w:p>
    <w:p w14:paraId="2FDBC5E8" w14:textId="410C2931" w:rsidR="00D91E47" w:rsidRDefault="00F139E5">
      <w:pPr>
        <w:widowControl/>
        <w:spacing w:after="160" w:line="259" w:lineRule="auto"/>
        <w:jc w:val="left"/>
      </w:pPr>
      <w:r>
        <w:rPr>
          <w:noProof/>
          <w:color w:val="000000"/>
          <w:lang w:val="de-DE" w:eastAsia="ja-JP"/>
        </w:rPr>
        <mc:AlternateContent>
          <mc:Choice Requires="wps">
            <w:drawing>
              <wp:anchor distT="0" distB="0" distL="114300" distR="114300" simplePos="0" relativeHeight="251686912" behindDoc="0" locked="0" layoutInCell="1" allowOverlap="1" wp14:anchorId="1134C902" wp14:editId="12DA970A">
                <wp:simplePos x="0" y="0"/>
                <wp:positionH relativeFrom="margin">
                  <wp:posOffset>-541020</wp:posOffset>
                </wp:positionH>
                <wp:positionV relativeFrom="paragraph">
                  <wp:posOffset>354330</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766C8" id="AutoShape 134" o:spid="_x0000_s1026" type="#_x0000_t32" style="position:absolute;margin-left:-42.6pt;margin-top:27.9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" strokecolor="#006747">
                <w10:wrap anchorx="margin"/>
              </v:shape>
            </w:pict>
          </mc:Fallback>
        </mc:AlternateContent>
      </w:r>
    </w:p>
    <w:p w14:paraId="1ED5D735" w14:textId="15E8CB9E" w:rsidR="001E5340" w:rsidRPr="001E5340" w:rsidRDefault="00D75CEE" w:rsidP="001E5340">
      <w:pPr>
        <w:spacing w:after="180" w:line="228" w:lineRule="auto"/>
        <w:rPr>
          <w:color w:val="767171" w:themeColor="background2" w:themeShade="80"/>
          <w:sz w:val="16"/>
          <w:szCs w:val="17"/>
          <w:lang w:val="es-ES"/>
        </w:rPr>
      </w:pPr>
      <w:r>
        <w:rPr>
          <w:noProof/>
          <w:lang w:val="de-DE" w:eastAsia="ja-JP"/>
        </w:rPr>
        <mc:AlternateContent>
          <mc:Choice Requires="wps">
            <w:drawing>
              <wp:anchor distT="0" distB="0" distL="114300" distR="114300" simplePos="0" relativeHeight="251688960" behindDoc="0" locked="0" layoutInCell="1" allowOverlap="1" wp14:anchorId="05C78577" wp14:editId="2338A679">
                <wp:simplePos x="0" y="0"/>
                <wp:positionH relativeFrom="column">
                  <wp:posOffset>-487045</wp:posOffset>
                </wp:positionH>
                <wp:positionV relativeFrom="paragraph">
                  <wp:posOffset>140335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0D6449" w:rsidRPr="006F31C1" w:rsidRDefault="000D6449" w:rsidP="00CB0F6B">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Información práctica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2" type="#_x0000_t202" style="position:absolute;left:0;text-align:left;margin-left:-38.35pt;margin-top:11.0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M7hgIAABc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" stroked="f">
                <v:textbox>
                  <w:txbxContent>
                    <w:p w14:paraId="7A7D7D0E" w14:textId="77777777" w:rsidR="000D6449" w:rsidRPr="006F31C1" w:rsidRDefault="000D6449" w:rsidP="00CB0F6B">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Información práctica</w:t>
                      </w:r>
                    </w:p>
                  </w:txbxContent>
                </v:textbox>
              </v:shape>
            </w:pict>
          </mc:Fallback>
        </mc:AlternateContent>
      </w:r>
      <w:r w:rsidR="00F139E5">
        <w:rPr>
          <w:noProof/>
          <w:lang w:val="de-DE" w:eastAsia="ja-JP"/>
        </w:rPr>
        <mc:AlternateContent>
          <mc:Choice Requires="wps">
            <w:drawing>
              <wp:anchor distT="0" distB="0" distL="114300" distR="114300" simplePos="0" relativeHeight="251691008" behindDoc="0" locked="0" layoutInCell="1" allowOverlap="1" wp14:anchorId="433AE50E" wp14:editId="1ED82EA3">
                <wp:simplePos x="0" y="0"/>
                <wp:positionH relativeFrom="column">
                  <wp:posOffset>3009900</wp:posOffset>
                </wp:positionH>
                <wp:positionV relativeFrom="paragraph">
                  <wp:posOffset>177800</wp:posOffset>
                </wp:positionV>
                <wp:extent cx="3438525" cy="26765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67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77777777" w:rsidR="000D6449" w:rsidRPr="00AE7351" w:rsidRDefault="000D6449" w:rsidP="00A573AF">
                            <w:pPr>
                              <w:pStyle w:val="KIIDbullet1"/>
                              <w:numPr>
                                <w:ilvl w:val="0"/>
                                <w:numId w:val="10"/>
                              </w:numPr>
                              <w:spacing w:after="80" w:line="220" w:lineRule="exact"/>
                              <w:ind w:left="357" w:hanging="357"/>
                              <w:rPr>
                                <w:rFonts w:cs="Arial"/>
                                <w:bCs/>
                                <w:sz w:val="17"/>
                                <w:szCs w:val="17"/>
                              </w:rPr>
                            </w:pPr>
                            <w:r w:rsidRPr="00AE7351">
                              <w:rPr>
                                <w:rFonts w:cs="Arial"/>
                                <w:sz w:val="17"/>
                                <w:szCs w:val="17"/>
                                <w:lang w:val="es"/>
                              </w:rPr>
                              <w:t xml:space="preserve">Tenga presente que las leyes fiscales de Irlanda pueden afectar a su situación tributaria personal. Se recomienda que obtenga asesoramiento fiscal profesional. </w:t>
                            </w:r>
                          </w:p>
                          <w:p w14:paraId="1A32BDC6" w14:textId="2938FF48" w:rsidR="000D6449" w:rsidRPr="00AE7351" w:rsidRDefault="000D6449" w:rsidP="00A573AF">
                            <w:pPr>
                              <w:pStyle w:val="KIIDbullet1"/>
                              <w:numPr>
                                <w:ilvl w:val="0"/>
                                <w:numId w:val="10"/>
                              </w:numPr>
                              <w:spacing w:after="80" w:line="220" w:lineRule="exact"/>
                              <w:ind w:left="357" w:hanging="357"/>
                              <w:rPr>
                                <w:rFonts w:cs="Arial"/>
                                <w:bCs/>
                                <w:sz w:val="17"/>
                                <w:szCs w:val="17"/>
                                <w:lang w:val="es-ES"/>
                              </w:rPr>
                            </w:pPr>
                            <w:r w:rsidRPr="00AE7351">
                              <w:rPr>
                                <w:rFonts w:cs="Arial"/>
                                <w:sz w:val="17"/>
                                <w:szCs w:val="17"/>
                                <w:lang w:val="es"/>
                              </w:rPr>
                              <w:t xml:space="preserve">La Gestora únicamente incurrirá en responsabilidad por las declaraciones contenidas en el presente documento que resulten engañosas, inexactas o incoherentes frente a las correspondientes partes del Folleto o del Suplemento. Los activos y pasivos de cada </w:t>
                            </w:r>
                            <w:proofErr w:type="spellStart"/>
                            <w:r w:rsidRPr="00AE7351">
                              <w:rPr>
                                <w:rFonts w:cs="Arial"/>
                                <w:sz w:val="17"/>
                                <w:szCs w:val="17"/>
                                <w:lang w:val="es"/>
                              </w:rPr>
                              <w:t>subfondo</w:t>
                            </w:r>
                            <w:proofErr w:type="spellEnd"/>
                            <w:r w:rsidRPr="00AE7351">
                              <w:rPr>
                                <w:rFonts w:cs="Arial"/>
                                <w:sz w:val="17"/>
                                <w:szCs w:val="17"/>
                                <w:lang w:val="es"/>
                              </w:rPr>
                              <w:t xml:space="preserve"> de la Sociedad están segregados por la legislación irlandesa. </w:t>
                            </w:r>
                          </w:p>
                          <w:p w14:paraId="27A7032A" w14:textId="01439FA2" w:rsidR="000D6449" w:rsidRPr="00AE7351" w:rsidRDefault="000D6449" w:rsidP="00A573AF">
                            <w:pPr>
                              <w:pStyle w:val="KIIDbullet1"/>
                              <w:numPr>
                                <w:ilvl w:val="0"/>
                                <w:numId w:val="10"/>
                              </w:numPr>
                              <w:spacing w:after="80" w:line="220" w:lineRule="exact"/>
                              <w:ind w:left="357" w:hanging="357"/>
                              <w:rPr>
                                <w:rFonts w:cs="Arial"/>
                                <w:bCs/>
                                <w:sz w:val="17"/>
                                <w:szCs w:val="17"/>
                                <w:lang w:val="es-ES"/>
                              </w:rPr>
                            </w:pPr>
                            <w:r w:rsidRPr="00AE7351">
                              <w:rPr>
                                <w:rFonts w:cs="Arial"/>
                                <w:sz w:val="17"/>
                                <w:szCs w:val="17"/>
                                <w:lang w:val="es"/>
                              </w:rPr>
                              <w:t xml:space="preserve">La Gestora ha sido autorizada en Irlanda y está regulada por el Banco Central de Irlanda. </w:t>
                            </w:r>
                          </w:p>
                          <w:p w14:paraId="509D6007" w14:textId="24B5A057" w:rsidR="000D6449" w:rsidRPr="00AE7351" w:rsidRDefault="000D6449" w:rsidP="00A573AF">
                            <w:pPr>
                              <w:pStyle w:val="KIIDbullet1"/>
                              <w:numPr>
                                <w:ilvl w:val="0"/>
                                <w:numId w:val="10"/>
                              </w:numPr>
                              <w:spacing w:line="220" w:lineRule="exact"/>
                              <w:ind w:left="357" w:hanging="357"/>
                              <w:rPr>
                                <w:rFonts w:cs="Arial"/>
                                <w:bCs/>
                                <w:sz w:val="17"/>
                                <w:szCs w:val="17"/>
                                <w:lang w:val="es-ES"/>
                              </w:rPr>
                            </w:pPr>
                            <w:bookmarkStart w:id="4" w:name="_Hlk106030897"/>
                            <w:bookmarkStart w:id="5" w:name="_Hlk106030898"/>
                            <w:r w:rsidRPr="00AE7351">
                              <w:rPr>
                                <w:rFonts w:cs="Arial"/>
                                <w:sz w:val="17"/>
                                <w:szCs w:val="17"/>
                                <w:lang w:val="es"/>
                              </w:rPr>
                              <w:t xml:space="preserve">Los presentes datos fundamentales para el inversor se refieren a la clase de acciones (del Fondo) a los que se refiere el título del documento. Puede encontrar información más concreta sobre la Sociedad y el Fondo, incluso sobre cómo comprar, vender y canjear acciones, en el Folleto y el Suplemento. El Folleto, el informe anual y las cuentas auditados y el informe semestral sin auditar se elaboran para el conjunto de la Sociedad.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3" type="#_x0000_t202" style="position:absolute;left:0;text-align:left;margin-left:237pt;margin-top:14pt;width:270.75pt;height:21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aRhA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" stroked="f">
                <v:textbox>
                  <w:txbxContent>
                    <w:p w14:paraId="0AA6402E" w14:textId="77777777" w:rsidR="000D6449" w:rsidRPr="00AE7351" w:rsidRDefault="000D6449" w:rsidP="00A573AF">
                      <w:pPr>
                        <w:pStyle w:val="KIIDbullet1"/>
                        <w:numPr>
                          <w:ilvl w:val="0"/>
                          <w:numId w:val="10"/>
                        </w:numPr>
                        <w:spacing w:after="80" w:line="220" w:lineRule="exact"/>
                        <w:ind w:left="357" w:hanging="357"/>
                        <w:rPr>
                          <w:rFonts w:cs="Arial"/>
                          <w:bCs/>
                          <w:sz w:val="17"/>
                          <w:szCs w:val="17"/>
                        </w:rPr>
                      </w:pPr>
                      <w:r w:rsidRPr="00AE7351">
                        <w:rPr>
                          <w:rFonts w:cs="Arial"/>
                          <w:sz w:val="17"/>
                          <w:szCs w:val="17"/>
                          <w:lang w:val="es"/>
                        </w:rPr>
                        <w:t xml:space="preserve">Tenga presente que las leyes fiscales de Irlanda pueden afectar a su situación tributaria personal. Se recomienda que obtenga asesoramiento fiscal profesional. </w:t>
                      </w:r>
                    </w:p>
                    <w:p w14:paraId="1A32BDC6" w14:textId="2938FF48" w:rsidR="000D6449" w:rsidRPr="00AE7351" w:rsidRDefault="000D6449" w:rsidP="00A573AF">
                      <w:pPr>
                        <w:pStyle w:val="KIIDbullet1"/>
                        <w:numPr>
                          <w:ilvl w:val="0"/>
                          <w:numId w:val="10"/>
                        </w:numPr>
                        <w:spacing w:after="80" w:line="220" w:lineRule="exact"/>
                        <w:ind w:left="357" w:hanging="357"/>
                        <w:rPr>
                          <w:rFonts w:cs="Arial"/>
                          <w:bCs/>
                          <w:sz w:val="17"/>
                          <w:szCs w:val="17"/>
                          <w:lang w:val="es-ES"/>
                        </w:rPr>
                      </w:pPr>
                      <w:r w:rsidRPr="00AE7351">
                        <w:rPr>
                          <w:rFonts w:cs="Arial"/>
                          <w:sz w:val="17"/>
                          <w:szCs w:val="17"/>
                          <w:lang w:val="es"/>
                        </w:rPr>
                        <w:t xml:space="preserve">La Gestora únicamente incurrirá en responsabilidad por las declaraciones contenidas en el presente documento que resulten engañosas, inexactas o incoherentes frente a las correspondientes partes del Folleto o del Suplemento. Los activos y pasivos de cada subfondo de la Sociedad están segregados por la legislación irlandesa. </w:t>
                      </w:r>
                    </w:p>
                    <w:p w14:paraId="27A7032A" w14:textId="01439FA2" w:rsidR="000D6449" w:rsidRPr="00AE7351" w:rsidRDefault="000D6449" w:rsidP="00A573AF">
                      <w:pPr>
                        <w:pStyle w:val="KIIDbullet1"/>
                        <w:numPr>
                          <w:ilvl w:val="0"/>
                          <w:numId w:val="10"/>
                        </w:numPr>
                        <w:spacing w:after="80" w:line="220" w:lineRule="exact"/>
                        <w:ind w:left="357" w:hanging="357"/>
                        <w:rPr>
                          <w:rFonts w:cs="Arial"/>
                          <w:bCs/>
                          <w:sz w:val="17"/>
                          <w:szCs w:val="17"/>
                          <w:lang w:val="es-ES"/>
                        </w:rPr>
                      </w:pPr>
                      <w:r w:rsidRPr="00AE7351">
                        <w:rPr>
                          <w:rFonts w:cs="Arial"/>
                          <w:sz w:val="17"/>
                          <w:szCs w:val="17"/>
                          <w:lang w:val="es"/>
                        </w:rPr>
                        <w:t xml:space="preserve">La Gestora ha sido autorizada en Irlanda y está regulada por el Banco Central de Irlanda. </w:t>
                      </w:r>
                    </w:p>
                    <w:p w14:paraId="509D6007" w14:textId="24B5A057" w:rsidR="000D6449" w:rsidRPr="00AE7351" w:rsidRDefault="000D6449" w:rsidP="00A573AF">
                      <w:pPr>
                        <w:pStyle w:val="KIIDbullet1"/>
                        <w:numPr>
                          <w:ilvl w:val="0"/>
                          <w:numId w:val="10"/>
                        </w:numPr>
                        <w:spacing w:line="220" w:lineRule="exact"/>
                        <w:ind w:left="357" w:hanging="357"/>
                        <w:rPr>
                          <w:rFonts w:cs="Arial"/>
                          <w:bCs/>
                          <w:sz w:val="17"/>
                          <w:szCs w:val="17"/>
                          <w:lang w:val="es-ES"/>
                        </w:rPr>
                      </w:pPr>
                      <w:bookmarkStart w:id="11" w:name="_Hlk106030897"/>
                      <w:bookmarkStart w:id="12" w:name="_Hlk106030898"/>
                      <w:r w:rsidRPr="00AE7351">
                        <w:rPr>
                          <w:rFonts w:cs="Arial"/>
                          <w:sz w:val="17"/>
                          <w:szCs w:val="17"/>
                          <w:lang w:val="es"/>
                        </w:rPr>
                        <w:t>Los presentes datos fundamentales para el inversor se refieren a la clase de acciones (del Fondo) a los que se refiere el título del documento. Puede encontrar información más concreta sobre la Sociedad y el Fondo, incluso sobre cómo comprar, vender y canjear acciones, en el Folleto y el Suplemento. El Folleto, el informe anual y las cuentas auditados y el informe semestral sin auditar se elaboran para e</w:t>
                      </w:r>
                      <w:bookmarkStart w:id="13" w:name="_GoBack"/>
                      <w:bookmarkEnd w:id="13"/>
                      <w:r w:rsidRPr="00AE7351">
                        <w:rPr>
                          <w:rFonts w:cs="Arial"/>
                          <w:sz w:val="17"/>
                          <w:szCs w:val="17"/>
                          <w:lang w:val="es"/>
                        </w:rPr>
                        <w:t xml:space="preserve">l conjunto de la Sociedad. </w:t>
                      </w:r>
                      <w:bookmarkEnd w:id="11"/>
                      <w:bookmarkEnd w:id="12"/>
                    </w:p>
                  </w:txbxContent>
                </v:textbox>
              </v:shape>
            </w:pict>
          </mc:Fallback>
        </mc:AlternateContent>
      </w:r>
      <w:r w:rsidR="001E5340">
        <w:rPr>
          <w:color w:val="767171" w:themeColor="background2" w:themeShade="80"/>
          <w:sz w:val="16"/>
          <w:szCs w:val="17"/>
          <w:lang w:val="es"/>
        </w:rPr>
        <w:t>.</w:t>
      </w:r>
    </w:p>
    <w:p w14:paraId="59D3C0D3" w14:textId="71250653" w:rsidR="00D91E47" w:rsidRDefault="00F139E5">
      <w:pPr>
        <w:widowControl/>
        <w:spacing w:after="160" w:line="259" w:lineRule="auto"/>
        <w:jc w:val="left"/>
      </w:pPr>
      <w:r>
        <w:rPr>
          <w:noProof/>
          <w:lang w:val="de-DE" w:eastAsia="ja-JP"/>
        </w:rPr>
        <mc:AlternateContent>
          <mc:Choice Requires="wps">
            <w:drawing>
              <wp:anchor distT="0" distB="0" distL="114300" distR="114300" simplePos="0" relativeHeight="251693056" behindDoc="0" locked="0" layoutInCell="1" allowOverlap="1" wp14:anchorId="49686F48" wp14:editId="0ED02708">
                <wp:simplePos x="0" y="0"/>
                <wp:positionH relativeFrom="column">
                  <wp:posOffset>-466725</wp:posOffset>
                </wp:positionH>
                <wp:positionV relativeFrom="paragraph">
                  <wp:posOffset>114935</wp:posOffset>
                </wp:positionV>
                <wp:extent cx="3359150" cy="24384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43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27AA9" w14:textId="02F2B723" w:rsidR="000D6449" w:rsidRPr="00AE7351" w:rsidRDefault="000D6449" w:rsidP="00F139E5">
                            <w:pPr>
                              <w:pStyle w:val="KIIDbullet1"/>
                              <w:spacing w:after="80" w:line="210" w:lineRule="exact"/>
                              <w:ind w:left="357" w:hanging="357"/>
                              <w:rPr>
                                <w:rFonts w:cs="Arial"/>
                                <w:bCs/>
                                <w:sz w:val="17"/>
                                <w:szCs w:val="17"/>
                                <w:lang w:val="es-ES"/>
                              </w:rPr>
                            </w:pPr>
                            <w:r w:rsidRPr="00AE7351">
                              <w:rPr>
                                <w:rFonts w:cs="Arial"/>
                                <w:sz w:val="17"/>
                                <w:szCs w:val="17"/>
                                <w:lang w:val="es"/>
                              </w:rPr>
                              <w:t xml:space="preserve">Puede obtener una copia de la Política de remuneración de la Sociedad en </w:t>
                            </w:r>
                            <w:hyperlink r:id="rId12" w:history="1">
                              <w:r w:rsidR="00B46BF9" w:rsidRPr="009A7E89">
                                <w:rPr>
                                  <w:rStyle w:val="Hyperlink"/>
                                  <w:rFonts w:cs="Arial"/>
                                  <w:sz w:val="17"/>
                                  <w:szCs w:val="17"/>
                                  <w:lang w:val="es"/>
                                </w:rPr>
                                <w:t>https://www.cqs.com/documents/regulatory-disclosures/cqs_ucits_remuneration_policy.pdf</w:t>
                              </w:r>
                            </w:hyperlink>
                            <w:r w:rsidR="00B46BF9">
                              <w:rPr>
                                <w:rFonts w:cs="Arial"/>
                                <w:sz w:val="17"/>
                                <w:szCs w:val="17"/>
                                <w:lang w:val="es"/>
                              </w:rPr>
                              <w:t xml:space="preserve"> </w:t>
                            </w:r>
                          </w:p>
                          <w:p w14:paraId="13585DF8" w14:textId="2AEE9DBB" w:rsidR="000D6449" w:rsidRPr="00AE7351" w:rsidRDefault="000D6449" w:rsidP="00F139E5">
                            <w:pPr>
                              <w:pStyle w:val="KIIDbullet1"/>
                              <w:spacing w:after="80" w:line="210" w:lineRule="exact"/>
                              <w:ind w:left="357" w:hanging="357"/>
                              <w:rPr>
                                <w:rFonts w:cs="Arial"/>
                                <w:bCs/>
                                <w:sz w:val="17"/>
                                <w:szCs w:val="17"/>
                                <w:lang w:val="es-ES"/>
                              </w:rPr>
                            </w:pPr>
                            <w:r w:rsidRPr="00AE7351">
                              <w:rPr>
                                <w:rFonts w:cs="Arial"/>
                                <w:sz w:val="17"/>
                                <w:szCs w:val="17"/>
                                <w:lang w:val="es"/>
                              </w:rPr>
                              <w:t xml:space="preserve">Los pormenores de la política de remuneración de la Gestora pueden consultarse en </w:t>
                            </w:r>
                            <w:hyperlink r:id="rId13" w:history="1">
                              <w:r w:rsidR="00B46BF9" w:rsidRPr="009A7E89">
                                <w:rPr>
                                  <w:rStyle w:val="Hyperlink"/>
                                  <w:rFonts w:cs="Arial"/>
                                  <w:sz w:val="17"/>
                                  <w:szCs w:val="17"/>
                                  <w:lang w:val="es"/>
                                </w:rPr>
                                <w:t>https://kbassociates.ie</w:t>
                              </w:r>
                            </w:hyperlink>
                            <w:r w:rsidR="00B46BF9">
                              <w:rPr>
                                <w:rFonts w:cs="Arial"/>
                                <w:sz w:val="17"/>
                                <w:szCs w:val="17"/>
                                <w:lang w:val="es"/>
                              </w:rPr>
                              <w:t xml:space="preserve"> </w:t>
                            </w:r>
                            <w:r w:rsidRPr="00AE7351">
                              <w:rPr>
                                <w:rFonts w:cs="Arial"/>
                                <w:sz w:val="17"/>
                                <w:szCs w:val="17"/>
                                <w:lang w:val="es"/>
                              </w:rPr>
                              <w:t xml:space="preserve"> Puede obtenerse una copia gratuita en papel de la política de remuneración si así se solicita. </w:t>
                            </w:r>
                          </w:p>
                          <w:p w14:paraId="4019ABE4" w14:textId="1EA520E6" w:rsidR="000D6449" w:rsidRPr="00AE7351" w:rsidRDefault="000D6449" w:rsidP="00F139E5">
                            <w:pPr>
                              <w:pStyle w:val="KIIDbullet1"/>
                              <w:spacing w:after="80" w:line="210" w:lineRule="exact"/>
                              <w:ind w:left="357" w:hanging="357"/>
                              <w:rPr>
                                <w:rFonts w:cs="Arial"/>
                                <w:bCs/>
                                <w:sz w:val="17"/>
                                <w:szCs w:val="17"/>
                                <w:lang w:val="es-ES"/>
                              </w:rPr>
                            </w:pPr>
                            <w:r w:rsidRPr="00AE7351">
                              <w:rPr>
                                <w:rFonts w:cs="Arial"/>
                                <w:sz w:val="17"/>
                                <w:szCs w:val="17"/>
                                <w:lang w:val="es"/>
                              </w:rPr>
                              <w:t xml:space="preserve">El Depositario es BNP </w:t>
                            </w:r>
                            <w:proofErr w:type="spellStart"/>
                            <w:r w:rsidRPr="00AE7351">
                              <w:rPr>
                                <w:rFonts w:cs="Arial"/>
                                <w:sz w:val="17"/>
                                <w:szCs w:val="17"/>
                                <w:lang w:val="es"/>
                              </w:rPr>
                              <w:t>Paribas</w:t>
                            </w:r>
                            <w:proofErr w:type="spellEnd"/>
                            <w:r w:rsidRPr="00AE7351">
                              <w:rPr>
                                <w:rFonts w:cs="Arial"/>
                                <w:sz w:val="17"/>
                                <w:szCs w:val="17"/>
                                <w:lang w:val="es"/>
                              </w:rPr>
                              <w:t xml:space="preserve"> </w:t>
                            </w:r>
                            <w:proofErr w:type="spellStart"/>
                            <w:r w:rsidRPr="00AE7351">
                              <w:rPr>
                                <w:rFonts w:cs="Arial"/>
                                <w:sz w:val="17"/>
                                <w:szCs w:val="17"/>
                                <w:lang w:val="es"/>
                              </w:rPr>
                              <w:t>Securities</w:t>
                            </w:r>
                            <w:proofErr w:type="spellEnd"/>
                            <w:r w:rsidRPr="00AE7351">
                              <w:rPr>
                                <w:rFonts w:cs="Arial"/>
                                <w:sz w:val="17"/>
                                <w:szCs w:val="17"/>
                                <w:lang w:val="es"/>
                              </w:rPr>
                              <w:t xml:space="preserve"> Services, </w:t>
                            </w:r>
                            <w:proofErr w:type="spellStart"/>
                            <w:r w:rsidRPr="00AE7351">
                              <w:rPr>
                                <w:rFonts w:cs="Arial"/>
                                <w:sz w:val="17"/>
                                <w:szCs w:val="17"/>
                                <w:lang w:val="es"/>
                              </w:rPr>
                              <w:t>Dublin</w:t>
                            </w:r>
                            <w:proofErr w:type="spellEnd"/>
                            <w:r w:rsidRPr="00AE7351">
                              <w:rPr>
                                <w:rFonts w:cs="Arial"/>
                                <w:sz w:val="17"/>
                                <w:szCs w:val="17"/>
                                <w:lang w:val="es"/>
                              </w:rPr>
                              <w:t xml:space="preserve"> Branch. </w:t>
                            </w:r>
                          </w:p>
                          <w:p w14:paraId="33E41788" w14:textId="2CA37201" w:rsidR="000D6449" w:rsidRPr="00AE7351" w:rsidRDefault="000D6449" w:rsidP="00F139E5">
                            <w:pPr>
                              <w:pStyle w:val="KIIDbullet1"/>
                              <w:spacing w:after="80" w:line="210" w:lineRule="exact"/>
                              <w:ind w:left="357" w:hanging="357"/>
                              <w:rPr>
                                <w:rFonts w:cs="Arial"/>
                                <w:bCs/>
                                <w:sz w:val="17"/>
                                <w:szCs w:val="17"/>
                                <w:lang w:val="es-ES"/>
                              </w:rPr>
                            </w:pPr>
                            <w:r w:rsidRPr="00AE7351">
                              <w:rPr>
                                <w:rFonts w:cs="Arial"/>
                                <w:sz w:val="17"/>
                                <w:szCs w:val="17"/>
                                <w:lang w:val="es"/>
                              </w:rPr>
                              <w:t xml:space="preserve">Puede obtenerse gratuitamente información en inglés sobre el Fondo, y copias del Folleto, el Suplemento, el informe anual y las cuentas más recientes, así como cualquier informe semestral sin auditar posterior a través del administrador, BNP </w:t>
                            </w:r>
                            <w:proofErr w:type="spellStart"/>
                            <w:r w:rsidRPr="00AE7351">
                              <w:rPr>
                                <w:rFonts w:cs="Arial"/>
                                <w:sz w:val="17"/>
                                <w:szCs w:val="17"/>
                                <w:lang w:val="es"/>
                              </w:rPr>
                              <w:t>Paribas</w:t>
                            </w:r>
                            <w:proofErr w:type="spellEnd"/>
                            <w:r w:rsidRPr="00AE7351">
                              <w:rPr>
                                <w:rFonts w:cs="Arial"/>
                                <w:sz w:val="17"/>
                                <w:szCs w:val="17"/>
                                <w:lang w:val="es"/>
                              </w:rPr>
                              <w:t xml:space="preserve"> Fund </w:t>
                            </w:r>
                            <w:proofErr w:type="spellStart"/>
                            <w:r w:rsidRPr="00AE7351">
                              <w:rPr>
                                <w:rFonts w:cs="Arial"/>
                                <w:sz w:val="17"/>
                                <w:szCs w:val="17"/>
                                <w:lang w:val="es"/>
                              </w:rPr>
                              <w:t>Administration</w:t>
                            </w:r>
                            <w:proofErr w:type="spellEnd"/>
                            <w:r w:rsidRPr="00AE7351">
                              <w:rPr>
                                <w:rFonts w:cs="Arial"/>
                                <w:sz w:val="17"/>
                                <w:szCs w:val="17"/>
                                <w:lang w:val="es"/>
                              </w:rPr>
                              <w:t xml:space="preserve"> Services (Ireland) </w:t>
                            </w:r>
                            <w:proofErr w:type="spellStart"/>
                            <w:r w:rsidRPr="00AE7351">
                              <w:rPr>
                                <w:rFonts w:cs="Arial"/>
                                <w:sz w:val="17"/>
                                <w:szCs w:val="17"/>
                                <w:lang w:val="es"/>
                              </w:rPr>
                              <w:t>Limited</w:t>
                            </w:r>
                            <w:proofErr w:type="spellEnd"/>
                            <w:r w:rsidRPr="00AE7351">
                              <w:rPr>
                                <w:rFonts w:cs="Arial"/>
                                <w:sz w:val="17"/>
                                <w:szCs w:val="17"/>
                                <w:lang w:val="es"/>
                              </w:rPr>
                              <w:t xml:space="preserve"> (el «</w:t>
                            </w:r>
                            <w:r w:rsidRPr="00AE7351">
                              <w:rPr>
                                <w:rFonts w:cs="Arial"/>
                                <w:b/>
                                <w:bCs/>
                                <w:sz w:val="17"/>
                                <w:szCs w:val="17"/>
                                <w:lang w:val="es"/>
                              </w:rPr>
                              <w:t>Administrador</w:t>
                            </w:r>
                            <w:r w:rsidRPr="00AE7351">
                              <w:rPr>
                                <w:rFonts w:cs="Arial"/>
                                <w:sz w:val="17"/>
                                <w:szCs w:val="17"/>
                                <w:lang w:val="es"/>
                              </w:rPr>
                              <w:t xml:space="preserve">») o el gestor de inversiones, CQS (UK) LLP. </w:t>
                            </w:r>
                          </w:p>
                          <w:p w14:paraId="50677DBE" w14:textId="34AE6649" w:rsidR="000D6449" w:rsidRPr="00AE7351" w:rsidRDefault="000D6449" w:rsidP="00F139E5">
                            <w:pPr>
                              <w:pStyle w:val="KIIDbullet1"/>
                              <w:spacing w:after="80" w:line="210" w:lineRule="exact"/>
                              <w:ind w:left="357" w:hanging="357"/>
                              <w:rPr>
                                <w:rFonts w:cs="Arial"/>
                                <w:bCs/>
                                <w:sz w:val="17"/>
                                <w:szCs w:val="17"/>
                                <w:lang w:val="es-ES"/>
                              </w:rPr>
                            </w:pPr>
                            <w:r w:rsidRPr="00AE7351">
                              <w:rPr>
                                <w:rFonts w:cs="Arial"/>
                                <w:sz w:val="17"/>
                                <w:szCs w:val="17"/>
                                <w:lang w:val="es"/>
                              </w:rPr>
                              <w:t xml:space="preserve">Los precios de suscripción y reembolso actualizados pueden obtenerse a través del Administrador. </w:t>
                            </w:r>
                          </w:p>
                          <w:p w14:paraId="4FD794F9" w14:textId="77777777" w:rsidR="000D6449" w:rsidRPr="008335CB" w:rsidRDefault="000D6449">
                            <w:pPr>
                              <w:pStyle w:val="KIIDbullet1"/>
                              <w:numPr>
                                <w:ilvl w:val="0"/>
                                <w:numId w:val="0"/>
                              </w:numPr>
                              <w:spacing w:after="80"/>
                              <w:rPr>
                                <w:rFonts w:cs="Arial"/>
                                <w:bCs/>
                                <w:sz w:val="17"/>
                                <w:szCs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4" type="#_x0000_t202" style="position:absolute;margin-left:-36.75pt;margin-top:9.05pt;width:264.5pt;height:1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" stroked="f">
                <v:textbox>
                  <w:txbxContent>
                    <w:p w14:paraId="0AF27AA9" w14:textId="02F2B723" w:rsidR="000D6449" w:rsidRPr="00AE7351" w:rsidRDefault="000D6449" w:rsidP="00F139E5">
                      <w:pPr>
                        <w:pStyle w:val="KIIDbullet1"/>
                        <w:spacing w:after="80" w:line="210" w:lineRule="exact"/>
                        <w:ind w:left="357" w:hanging="357"/>
                        <w:rPr>
                          <w:rFonts w:cs="Arial"/>
                          <w:bCs/>
                          <w:sz w:val="17"/>
                          <w:szCs w:val="17"/>
                          <w:lang w:val="es-ES"/>
                        </w:rPr>
                      </w:pPr>
                      <w:r w:rsidRPr="00AE7351">
                        <w:rPr>
                          <w:rFonts w:cs="Arial"/>
                          <w:sz w:val="17"/>
                          <w:szCs w:val="17"/>
                          <w:lang w:val="es"/>
                        </w:rPr>
                        <w:t xml:space="preserve">Puede obtener una copia de la Política de remuneración de la Sociedad en </w:t>
                      </w:r>
                      <w:hyperlink r:id="rId14" w:history="1">
                        <w:r w:rsidR="00B46BF9" w:rsidRPr="009A7E89">
                          <w:rPr>
                            <w:rStyle w:val="Hyperlink"/>
                            <w:rFonts w:cs="Arial"/>
                            <w:sz w:val="17"/>
                            <w:szCs w:val="17"/>
                            <w:lang w:val="es"/>
                          </w:rPr>
                          <w:t>https://www.cqs.com/documents/regulatory-disclosures/cqs_ucits_remuneration_policy.pdf</w:t>
                        </w:r>
                      </w:hyperlink>
                      <w:r w:rsidR="00B46BF9">
                        <w:rPr>
                          <w:rFonts w:cs="Arial"/>
                          <w:sz w:val="17"/>
                          <w:szCs w:val="17"/>
                          <w:lang w:val="es"/>
                        </w:rPr>
                        <w:t xml:space="preserve"> </w:t>
                      </w:r>
                    </w:p>
                    <w:p w14:paraId="13585DF8" w14:textId="2AEE9DBB" w:rsidR="000D6449" w:rsidRPr="00AE7351" w:rsidRDefault="000D6449" w:rsidP="00F139E5">
                      <w:pPr>
                        <w:pStyle w:val="KIIDbullet1"/>
                        <w:spacing w:after="80" w:line="210" w:lineRule="exact"/>
                        <w:ind w:left="357" w:hanging="357"/>
                        <w:rPr>
                          <w:rFonts w:cs="Arial"/>
                          <w:bCs/>
                          <w:sz w:val="17"/>
                          <w:szCs w:val="17"/>
                          <w:lang w:val="es-ES"/>
                        </w:rPr>
                      </w:pPr>
                      <w:r w:rsidRPr="00AE7351">
                        <w:rPr>
                          <w:rFonts w:cs="Arial"/>
                          <w:sz w:val="17"/>
                          <w:szCs w:val="17"/>
                          <w:lang w:val="es"/>
                        </w:rPr>
                        <w:t xml:space="preserve">Los pormenores de la política de remuneración de la Gestora pueden consultarse en </w:t>
                      </w:r>
                      <w:hyperlink r:id="rId15" w:history="1">
                        <w:r w:rsidR="00B46BF9" w:rsidRPr="009A7E89">
                          <w:rPr>
                            <w:rStyle w:val="Hyperlink"/>
                            <w:rFonts w:cs="Arial"/>
                            <w:sz w:val="17"/>
                            <w:szCs w:val="17"/>
                            <w:lang w:val="es"/>
                          </w:rPr>
                          <w:t>https://kbassociates.ie</w:t>
                        </w:r>
                      </w:hyperlink>
                      <w:r w:rsidR="00B46BF9">
                        <w:rPr>
                          <w:rFonts w:cs="Arial"/>
                          <w:sz w:val="17"/>
                          <w:szCs w:val="17"/>
                          <w:lang w:val="es"/>
                        </w:rPr>
                        <w:t xml:space="preserve"> </w:t>
                      </w:r>
                      <w:r w:rsidRPr="00AE7351">
                        <w:rPr>
                          <w:rFonts w:cs="Arial"/>
                          <w:sz w:val="17"/>
                          <w:szCs w:val="17"/>
                          <w:lang w:val="es"/>
                        </w:rPr>
                        <w:t xml:space="preserve"> Puede obtenerse una copia gratuita en papel de la política de remuneración si así se solicita. </w:t>
                      </w:r>
                    </w:p>
                    <w:p w14:paraId="4019ABE4" w14:textId="1EA520E6" w:rsidR="000D6449" w:rsidRPr="00AE7351" w:rsidRDefault="000D6449" w:rsidP="00F139E5">
                      <w:pPr>
                        <w:pStyle w:val="KIIDbullet1"/>
                        <w:spacing w:after="80" w:line="210" w:lineRule="exact"/>
                        <w:ind w:left="357" w:hanging="357"/>
                        <w:rPr>
                          <w:rFonts w:cs="Arial"/>
                          <w:bCs/>
                          <w:sz w:val="17"/>
                          <w:szCs w:val="17"/>
                          <w:lang w:val="es-ES"/>
                        </w:rPr>
                      </w:pPr>
                      <w:r w:rsidRPr="00AE7351">
                        <w:rPr>
                          <w:rFonts w:cs="Arial"/>
                          <w:sz w:val="17"/>
                          <w:szCs w:val="17"/>
                          <w:lang w:val="es"/>
                        </w:rPr>
                        <w:t xml:space="preserve">El Depositario es BNP </w:t>
                      </w:r>
                      <w:proofErr w:type="spellStart"/>
                      <w:r w:rsidRPr="00AE7351">
                        <w:rPr>
                          <w:rFonts w:cs="Arial"/>
                          <w:sz w:val="17"/>
                          <w:szCs w:val="17"/>
                          <w:lang w:val="es"/>
                        </w:rPr>
                        <w:t>Paribas</w:t>
                      </w:r>
                      <w:proofErr w:type="spellEnd"/>
                      <w:r w:rsidRPr="00AE7351">
                        <w:rPr>
                          <w:rFonts w:cs="Arial"/>
                          <w:sz w:val="17"/>
                          <w:szCs w:val="17"/>
                          <w:lang w:val="es"/>
                        </w:rPr>
                        <w:t xml:space="preserve"> </w:t>
                      </w:r>
                      <w:proofErr w:type="spellStart"/>
                      <w:r w:rsidRPr="00AE7351">
                        <w:rPr>
                          <w:rFonts w:cs="Arial"/>
                          <w:sz w:val="17"/>
                          <w:szCs w:val="17"/>
                          <w:lang w:val="es"/>
                        </w:rPr>
                        <w:t>Securities</w:t>
                      </w:r>
                      <w:proofErr w:type="spellEnd"/>
                      <w:r w:rsidRPr="00AE7351">
                        <w:rPr>
                          <w:rFonts w:cs="Arial"/>
                          <w:sz w:val="17"/>
                          <w:szCs w:val="17"/>
                          <w:lang w:val="es"/>
                        </w:rPr>
                        <w:t xml:space="preserve"> Services, </w:t>
                      </w:r>
                      <w:proofErr w:type="spellStart"/>
                      <w:r w:rsidRPr="00AE7351">
                        <w:rPr>
                          <w:rFonts w:cs="Arial"/>
                          <w:sz w:val="17"/>
                          <w:szCs w:val="17"/>
                          <w:lang w:val="es"/>
                        </w:rPr>
                        <w:t>Dublin</w:t>
                      </w:r>
                      <w:proofErr w:type="spellEnd"/>
                      <w:r w:rsidRPr="00AE7351">
                        <w:rPr>
                          <w:rFonts w:cs="Arial"/>
                          <w:sz w:val="17"/>
                          <w:szCs w:val="17"/>
                          <w:lang w:val="es"/>
                        </w:rPr>
                        <w:t xml:space="preserve"> Branch. </w:t>
                      </w:r>
                    </w:p>
                    <w:p w14:paraId="33E41788" w14:textId="2CA37201" w:rsidR="000D6449" w:rsidRPr="00AE7351" w:rsidRDefault="000D6449" w:rsidP="00F139E5">
                      <w:pPr>
                        <w:pStyle w:val="KIIDbullet1"/>
                        <w:spacing w:after="80" w:line="210" w:lineRule="exact"/>
                        <w:ind w:left="357" w:hanging="357"/>
                        <w:rPr>
                          <w:rFonts w:cs="Arial"/>
                          <w:bCs/>
                          <w:sz w:val="17"/>
                          <w:szCs w:val="17"/>
                          <w:lang w:val="es-ES"/>
                        </w:rPr>
                      </w:pPr>
                      <w:r w:rsidRPr="00AE7351">
                        <w:rPr>
                          <w:rFonts w:cs="Arial"/>
                          <w:sz w:val="17"/>
                          <w:szCs w:val="17"/>
                          <w:lang w:val="es"/>
                        </w:rPr>
                        <w:t xml:space="preserve">Puede obtenerse gratuitamente información en inglés sobre el Fondo, y copias del Folleto, el Suplemento, el informe anual y las cuentas más recientes, así como cualquier informe semestral sin auditar posterior a través del administrador, BNP </w:t>
                      </w:r>
                      <w:proofErr w:type="spellStart"/>
                      <w:r w:rsidRPr="00AE7351">
                        <w:rPr>
                          <w:rFonts w:cs="Arial"/>
                          <w:sz w:val="17"/>
                          <w:szCs w:val="17"/>
                          <w:lang w:val="es"/>
                        </w:rPr>
                        <w:t>Paribas</w:t>
                      </w:r>
                      <w:proofErr w:type="spellEnd"/>
                      <w:r w:rsidRPr="00AE7351">
                        <w:rPr>
                          <w:rFonts w:cs="Arial"/>
                          <w:sz w:val="17"/>
                          <w:szCs w:val="17"/>
                          <w:lang w:val="es"/>
                        </w:rPr>
                        <w:t xml:space="preserve"> Fund </w:t>
                      </w:r>
                      <w:proofErr w:type="spellStart"/>
                      <w:r w:rsidRPr="00AE7351">
                        <w:rPr>
                          <w:rFonts w:cs="Arial"/>
                          <w:sz w:val="17"/>
                          <w:szCs w:val="17"/>
                          <w:lang w:val="es"/>
                        </w:rPr>
                        <w:t>Administration</w:t>
                      </w:r>
                      <w:proofErr w:type="spellEnd"/>
                      <w:r w:rsidRPr="00AE7351">
                        <w:rPr>
                          <w:rFonts w:cs="Arial"/>
                          <w:sz w:val="17"/>
                          <w:szCs w:val="17"/>
                          <w:lang w:val="es"/>
                        </w:rPr>
                        <w:t xml:space="preserve"> Services (Ireland) </w:t>
                      </w:r>
                      <w:proofErr w:type="spellStart"/>
                      <w:r w:rsidRPr="00AE7351">
                        <w:rPr>
                          <w:rFonts w:cs="Arial"/>
                          <w:sz w:val="17"/>
                          <w:szCs w:val="17"/>
                          <w:lang w:val="es"/>
                        </w:rPr>
                        <w:t>Limited</w:t>
                      </w:r>
                      <w:proofErr w:type="spellEnd"/>
                      <w:r w:rsidRPr="00AE7351">
                        <w:rPr>
                          <w:rFonts w:cs="Arial"/>
                          <w:sz w:val="17"/>
                          <w:szCs w:val="17"/>
                          <w:lang w:val="es"/>
                        </w:rPr>
                        <w:t xml:space="preserve"> (el «</w:t>
                      </w:r>
                      <w:r w:rsidRPr="00AE7351">
                        <w:rPr>
                          <w:rFonts w:cs="Arial"/>
                          <w:b/>
                          <w:bCs/>
                          <w:sz w:val="17"/>
                          <w:szCs w:val="17"/>
                          <w:lang w:val="es"/>
                        </w:rPr>
                        <w:t>Administrador</w:t>
                      </w:r>
                      <w:r w:rsidRPr="00AE7351">
                        <w:rPr>
                          <w:rFonts w:cs="Arial"/>
                          <w:sz w:val="17"/>
                          <w:szCs w:val="17"/>
                          <w:lang w:val="es"/>
                        </w:rPr>
                        <w:t xml:space="preserve">») o el gestor de inversiones, CQS (UK) LLP. </w:t>
                      </w:r>
                    </w:p>
                    <w:p w14:paraId="50677DBE" w14:textId="34AE6649" w:rsidR="000D6449" w:rsidRPr="00AE7351" w:rsidRDefault="000D6449" w:rsidP="00F139E5">
                      <w:pPr>
                        <w:pStyle w:val="KIIDbullet1"/>
                        <w:spacing w:after="80" w:line="210" w:lineRule="exact"/>
                        <w:ind w:left="357" w:hanging="357"/>
                        <w:rPr>
                          <w:rFonts w:cs="Arial"/>
                          <w:bCs/>
                          <w:sz w:val="17"/>
                          <w:szCs w:val="17"/>
                          <w:lang w:val="es-ES"/>
                        </w:rPr>
                      </w:pPr>
                      <w:r w:rsidRPr="00AE7351">
                        <w:rPr>
                          <w:rFonts w:cs="Arial"/>
                          <w:sz w:val="17"/>
                          <w:szCs w:val="17"/>
                          <w:lang w:val="es"/>
                        </w:rPr>
                        <w:t xml:space="preserve">Los precios de suscripción y reembolso actualizados pueden obtenerse a través del Administrador. </w:t>
                      </w:r>
                    </w:p>
                    <w:p w14:paraId="4FD794F9" w14:textId="77777777" w:rsidR="000D6449" w:rsidRPr="008335CB" w:rsidRDefault="000D6449">
                      <w:pPr>
                        <w:pStyle w:val="KIIDbullet1"/>
                        <w:numPr>
                          <w:ilvl w:val="0"/>
                          <w:numId w:val="0"/>
                        </w:numPr>
                        <w:spacing w:after="80"/>
                        <w:rPr>
                          <w:rFonts w:cs="Arial"/>
                          <w:bCs/>
                          <w:sz w:val="17"/>
                          <w:szCs w:val="17"/>
                          <w:lang w:val="es-ES"/>
                        </w:rPr>
                      </w:pPr>
                    </w:p>
                  </w:txbxContent>
                </v:textbox>
              </v:shape>
            </w:pict>
          </mc:Fallback>
        </mc:AlternateContent>
      </w:r>
    </w:p>
    <w:p w14:paraId="03DC48A2" w14:textId="787F85AF" w:rsidR="005B6E23" w:rsidRDefault="00D75CEE">
      <w:pPr>
        <w:widowControl/>
        <w:spacing w:after="160" w:line="259" w:lineRule="auto"/>
        <w:jc w:val="left"/>
      </w:pPr>
      <w:r w:rsidRPr="00F00EEE">
        <w:rPr>
          <w:noProof/>
          <w:lang w:val="de-DE" w:eastAsia="ja-JP"/>
        </w:rPr>
        <w:drawing>
          <wp:anchor distT="0" distB="0" distL="114300" distR="114300" simplePos="0" relativeHeight="251710464" behindDoc="0" locked="0" layoutInCell="1" allowOverlap="1" wp14:anchorId="07F92312" wp14:editId="6CF0B61D">
            <wp:simplePos x="0" y="0"/>
            <wp:positionH relativeFrom="column">
              <wp:posOffset>4419600</wp:posOffset>
            </wp:positionH>
            <wp:positionV relativeFrom="paragraph">
              <wp:posOffset>3800475</wp:posOffset>
            </wp:positionV>
            <wp:extent cx="1276350" cy="59944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6350" cy="599440"/>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ja-JP"/>
        </w:rPr>
        <mc:AlternateContent>
          <mc:Choice Requires="wps">
            <w:drawing>
              <wp:anchor distT="0" distB="0" distL="114300" distR="114300" simplePos="0" relativeHeight="251695104" behindDoc="0" locked="0" layoutInCell="1" allowOverlap="1" wp14:anchorId="4246B9A2" wp14:editId="4F38871B">
                <wp:simplePos x="0" y="0"/>
                <wp:positionH relativeFrom="column">
                  <wp:posOffset>-552450</wp:posOffset>
                </wp:positionH>
                <wp:positionV relativeFrom="paragraph">
                  <wp:posOffset>2295525</wp:posOffset>
                </wp:positionV>
                <wp:extent cx="6927850" cy="16097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60972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1D22610" w14:textId="1D159332" w:rsidR="000D6449" w:rsidRPr="008335CB" w:rsidRDefault="000D6449" w:rsidP="00B20DBD">
                            <w:pPr>
                              <w:spacing w:line="200" w:lineRule="exact"/>
                              <w:jc w:val="left"/>
                              <w:rPr>
                                <w:rFonts w:cs="Arial"/>
                                <w:color w:val="A6A6A6"/>
                                <w:sz w:val="14"/>
                                <w:szCs w:val="14"/>
                                <w:lang w:val="es-ES"/>
                              </w:rPr>
                            </w:pPr>
                            <w:r w:rsidRPr="00AE7351">
                              <w:rPr>
                                <w:rFonts w:cs="Arial"/>
                                <w:color w:val="A6A6A6"/>
                                <w:sz w:val="14"/>
                                <w:szCs w:val="14"/>
                                <w:lang w:val="es"/>
                              </w:rPr>
                              <w:t xml:space="preserve">Información exigida, en la medida en que sea aplicable, a la distribución de organismos de inversión colectiva extranjeros a inversores aptos en Suiza: el representante en Suiza es Acolin Fund Services AG, </w:t>
                            </w:r>
                            <w:proofErr w:type="spellStart"/>
                            <w:r w:rsidRPr="00AE7351">
                              <w:rPr>
                                <w:rFonts w:cs="Arial"/>
                                <w:color w:val="A6A6A6"/>
                                <w:sz w:val="14"/>
                                <w:szCs w:val="14"/>
                                <w:lang w:val="es"/>
                              </w:rPr>
                              <w:t>Leutschenbachstrasse</w:t>
                            </w:r>
                            <w:proofErr w:type="spellEnd"/>
                            <w:r w:rsidRPr="00AE7351">
                              <w:rPr>
                                <w:rFonts w:cs="Arial"/>
                                <w:color w:val="A6A6A6"/>
                                <w:sz w:val="14"/>
                                <w:szCs w:val="14"/>
                                <w:lang w:val="es"/>
                              </w:rPr>
                              <w:t xml:space="preserve"> 50, CH-8050 Zúrich (Suiza). La distribución de Acciones del correspondiente Fondo de CQS en Suiza se hará y se dirigirá exclusivamente a inversores aptos (los «Inversores aptos), con arreglo a lo definido en la Ley suiza de organismos de inversión colectiva de 23 de junio de 2006, con sus oportunas reformas («CISA») y su ordenanza de ejecución (las «Normas suizas sobre distribución»). Por consiguiente, el oportuno Fondo de CQS no ha sido ni será registrado ante la Autoridad Supervisora del Mercado Financiero Suizo («FINMA»). El agente de pagos en Suiza es Aquila &amp; Co. AG, </w:t>
                            </w:r>
                            <w:proofErr w:type="spellStart"/>
                            <w:r w:rsidRPr="00AE7351">
                              <w:rPr>
                                <w:rFonts w:cs="Arial"/>
                                <w:color w:val="A6A6A6"/>
                                <w:sz w:val="14"/>
                                <w:szCs w:val="14"/>
                                <w:lang w:val="es"/>
                              </w:rPr>
                              <w:t>Bahnhofstrasse</w:t>
                            </w:r>
                            <w:proofErr w:type="spellEnd"/>
                            <w:r w:rsidRPr="00AE7351">
                              <w:rPr>
                                <w:rFonts w:cs="Arial"/>
                                <w:color w:val="A6A6A6"/>
                                <w:sz w:val="14"/>
                                <w:szCs w:val="14"/>
                                <w:lang w:val="es"/>
                              </w:rPr>
                              <w:t xml:space="preserve"> 28a, CH-8001, Zúrich (Suiza). El correspondiente Documento de oferta y todos los demás documentos empleados a efectos de comercialización, incluido el informe anual y semestral, si los hubiese, pueden obtenerse gratuitamente a través del representante en Suiza. El lugar de ejecución y la jurisdicción con relación a las Acciones distribuidas en y desde Suiza es el domicilio social del representante en ese país. CQS (UK) LLP (en calidad de entidad comercializadora en Suiza) y sus agentes no pagan ninguna retrocesión a terceros con relación a</w:t>
                            </w:r>
                            <w:r>
                              <w:rPr>
                                <w:rFonts w:cs="Arial"/>
                                <w:color w:val="A6A6A6"/>
                                <w:sz w:val="14"/>
                                <w:szCs w:val="14"/>
                                <w:lang w:val="es"/>
                              </w:rPr>
                              <w:t xml:space="preserve"> </w:t>
                            </w:r>
                            <w:r w:rsidRPr="00AE7351">
                              <w:rPr>
                                <w:rFonts w:cs="Arial"/>
                                <w:color w:val="A6A6A6"/>
                                <w:sz w:val="14"/>
                                <w:szCs w:val="14"/>
                                <w:lang w:val="es"/>
                              </w:rPr>
                              <w:t xml:space="preserve">la distribución de las Acciones del correspondiente Fondo de CQS en o desde Suiza. CQS (UK) LLP (en calidad de entidad comercializadora en Suiza) y sus agentes no pagan ninguna bonificación que tenga por objeto reducir las comisiones y gastos abonados por el Fondo de CQS y en que hayan incurrido los inversores. La Sociedad ha sido autorizada en Irlanda y está regulada por el Banco Central de Irlanda. Los presentes datos fundamentales para el inversor son exactos a </w:t>
                            </w:r>
                            <w:r w:rsidR="00B20DBD">
                              <w:rPr>
                                <w:rFonts w:cs="Arial"/>
                                <w:color w:val="A6A6A6"/>
                                <w:sz w:val="14"/>
                                <w:szCs w:val="14"/>
                                <w:lang w:val="es-ES"/>
                              </w:rPr>
                              <w:t xml:space="preserve">8 de agosto de 2022.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5" type="#_x0000_t202" style="position:absolute;margin-left:-43.5pt;margin-top:180.75pt;width:545.5pt;height:12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" filled="f" fillcolor="#cce1da" stroked="f" strokecolor="#006747">
                <v:textbox>
                  <w:txbxContent>
                    <w:p w14:paraId="41D22610" w14:textId="1D159332" w:rsidR="000D6449" w:rsidRPr="008335CB" w:rsidRDefault="000D6449" w:rsidP="00B20DBD">
                      <w:pPr>
                        <w:spacing w:line="200" w:lineRule="exact"/>
                        <w:jc w:val="left"/>
                        <w:rPr>
                          <w:rFonts w:cs="Arial"/>
                          <w:color w:val="A6A6A6"/>
                          <w:sz w:val="14"/>
                          <w:szCs w:val="14"/>
                          <w:lang w:val="es-ES"/>
                        </w:rPr>
                      </w:pPr>
                      <w:r w:rsidRPr="00AE7351">
                        <w:rPr>
                          <w:rFonts w:cs="Arial"/>
                          <w:color w:val="A6A6A6"/>
                          <w:sz w:val="14"/>
                          <w:szCs w:val="14"/>
                          <w:lang w:val="es"/>
                        </w:rPr>
                        <w:t>Información exigida, en la medida en que sea aplicable, a la distribución de organismos de inversión colectiva extranjeros a inversores aptos en Suiza: el representante en Suiza es Acolin Fund Services AG, Leutschenbachstrasse 50, CH-8050 Zúrich (Suiza). La distribución de Acciones del correspondiente Fondo de CQS en Suiza se hará y se dirigirá exclusivamente a inversores aptos (los «Inversores aptos), con arreglo a lo definido en la Ley suiza de organismos de inversión colectiva de 23 de junio de 2006, con sus oportunas reformas («CISA») y su ordenanza de ejecución (las «Normas suizas sobre distribución»). Por consiguiente, el oportuno Fondo de CQS no ha sido ni será registrado ante la Autoridad Supervisora del Mercado Financiero Suizo («FINMA»). El agente de pagos en Suiza es Aquila &amp; Co. AG, Bahnhofstrasse 28a, CH-8001, Zúrich (Suiza). El correspondiente Documento de oferta y todos los demás documentos empleados a efectos de comercialización, incluido el informe anual y semestral, si los hubiese, pueden obtenerse gratuitamente a través del representante en Suiza. El lugar de ejecución y la jurisdicción con relación a las Acciones distribuidas en y desde Suiza es el domicilio social del representante en ese país. CQS (UK) LLP (en calidad de entidad comercializadora en Suiza) y sus agentes no pagan ninguna retrocesión a terceros con relación a</w:t>
                      </w:r>
                      <w:r>
                        <w:rPr>
                          <w:rFonts w:cs="Arial"/>
                          <w:color w:val="A6A6A6"/>
                          <w:sz w:val="14"/>
                          <w:szCs w:val="14"/>
                          <w:lang w:val="es"/>
                        </w:rPr>
                        <w:t xml:space="preserve"> </w:t>
                      </w:r>
                      <w:r w:rsidRPr="00AE7351">
                        <w:rPr>
                          <w:rFonts w:cs="Arial"/>
                          <w:color w:val="A6A6A6"/>
                          <w:sz w:val="14"/>
                          <w:szCs w:val="14"/>
                          <w:lang w:val="es"/>
                        </w:rPr>
                        <w:t xml:space="preserve">la distribución de las Acciones del correspondiente Fondo de CQS en o desde Suiza. CQS (UK) LLP (en calidad de entidad comercializadora en Suiza) y sus agentes no pagan ninguna bonificación que tenga por objeto reducir las comisiones y gastos abonados por el Fondo de CQS y en que hayan incurrido los inversores. La Sociedad ha sido autorizada en Irlanda y está regulada por el Banco Central de Irlanda. Los presentes datos fundamentales para el inversor son exactos a </w:t>
                      </w:r>
                      <w:r w:rsidR="00B20DBD">
                        <w:rPr>
                          <w:rFonts w:cs="Arial"/>
                          <w:color w:val="A6A6A6"/>
                          <w:sz w:val="14"/>
                          <w:szCs w:val="14"/>
                          <w:lang w:val="es-ES"/>
                        </w:rPr>
                        <w:t>8 de agosto de 2022.</w:t>
                      </w:r>
                      <w:r w:rsidR="00B20DBD">
                        <w:rPr>
                          <w:rFonts w:cs="Arial"/>
                          <w:color w:val="A6A6A6"/>
                          <w:sz w:val="14"/>
                          <w:szCs w:val="14"/>
                          <w:lang w:val="es-ES"/>
                        </w:rPr>
                        <w:t xml:space="preserve"> </w:t>
                      </w:r>
                      <w:bookmarkStart w:id="7" w:name="_GoBack"/>
                      <w:bookmarkEnd w:id="7"/>
                    </w:p>
                  </w:txbxContent>
                </v:textbox>
              </v:shape>
            </w:pict>
          </mc:Fallback>
        </mc:AlternateContent>
      </w:r>
      <w:r w:rsidR="00883D68">
        <w:rPr>
          <w:noProof/>
          <w:lang w:val="de-DE" w:eastAsia="ja-JP"/>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Sect="00A573AF">
      <w:footerReference w:type="default" r:id="rId16"/>
      <w:pgSz w:w="11906" w:h="16838"/>
      <w:pgMar w:top="1159" w:right="1440" w:bottom="1440" w:left="1440" w:header="56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33C8A" w14:textId="77777777" w:rsidR="000D6449" w:rsidRDefault="000D6449" w:rsidP="005B6E23">
      <w:pPr>
        <w:spacing w:line="240" w:lineRule="auto"/>
      </w:pPr>
      <w:r>
        <w:separator/>
      </w:r>
    </w:p>
  </w:endnote>
  <w:endnote w:type="continuationSeparator" w:id="0">
    <w:p w14:paraId="5310BF5B" w14:textId="77777777" w:rsidR="000D6449" w:rsidRDefault="000D6449"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10930E68" w:rsidR="000D6449" w:rsidRDefault="000D6449">
    <w:pPr>
      <w:pStyle w:val="Footer"/>
      <w:jc w:val="center"/>
      <w:rPr>
        <w:caps/>
        <w:noProof/>
        <w:color w:val="5B9BD5" w:themeColor="accent1"/>
      </w:rPr>
    </w:pPr>
    <w:r>
      <w:rPr>
        <w:caps/>
        <w:color w:val="5B9BD5" w:themeColor="accent1"/>
        <w:lang w:val="es"/>
      </w:rPr>
      <w:fldChar w:fldCharType="begin"/>
    </w:r>
    <w:r>
      <w:rPr>
        <w:caps/>
        <w:color w:val="5B9BD5" w:themeColor="accent1"/>
        <w:lang w:val="es"/>
      </w:rPr>
      <w:instrText xml:space="preserve"> PAGE   \* MERGEFORMAT </w:instrText>
    </w:r>
    <w:r>
      <w:rPr>
        <w:caps/>
        <w:color w:val="5B9BD5" w:themeColor="accent1"/>
        <w:lang w:val="es"/>
      </w:rPr>
      <w:fldChar w:fldCharType="separate"/>
    </w:r>
    <w:r w:rsidR="00B20DBD">
      <w:rPr>
        <w:caps/>
        <w:noProof/>
        <w:color w:val="5B9BD5" w:themeColor="accent1"/>
        <w:lang w:val="es"/>
      </w:rPr>
      <w:t>2</w:t>
    </w:r>
    <w:r>
      <w:rPr>
        <w:caps/>
        <w:noProof/>
        <w:color w:val="5B9BD5" w:themeColor="accent1"/>
        <w:lang w:val="es"/>
      </w:rPr>
      <w:fldChar w:fldCharType="end"/>
    </w:r>
  </w:p>
  <w:p w14:paraId="549331D9" w14:textId="77777777" w:rsidR="000D6449" w:rsidRDefault="000D6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D7B5" w14:textId="77777777" w:rsidR="000D6449" w:rsidRDefault="000D6449" w:rsidP="005B6E23">
      <w:pPr>
        <w:spacing w:line="240" w:lineRule="auto"/>
      </w:pPr>
      <w:r>
        <w:separator/>
      </w:r>
    </w:p>
  </w:footnote>
  <w:footnote w:type="continuationSeparator" w:id="0">
    <w:p w14:paraId="5F57E21E" w14:textId="77777777" w:rsidR="000D6449" w:rsidRDefault="000D6449"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8860516">
    <w:abstractNumId w:val="7"/>
  </w:num>
  <w:num w:numId="2" w16cid:durableId="1307969953">
    <w:abstractNumId w:val="8"/>
  </w:num>
  <w:num w:numId="3" w16cid:durableId="1842349630">
    <w:abstractNumId w:val="2"/>
  </w:num>
  <w:num w:numId="4" w16cid:durableId="966544905">
    <w:abstractNumId w:val="8"/>
  </w:num>
  <w:num w:numId="5" w16cid:durableId="587155419">
    <w:abstractNumId w:val="0"/>
  </w:num>
  <w:num w:numId="6" w16cid:durableId="589124383">
    <w:abstractNumId w:val="4"/>
  </w:num>
  <w:num w:numId="7" w16cid:durableId="2058117083">
    <w:abstractNumId w:val="3"/>
  </w:num>
  <w:num w:numId="8" w16cid:durableId="877161330">
    <w:abstractNumId w:val="6"/>
  </w:num>
  <w:num w:numId="9" w16cid:durableId="2030519878">
    <w:abstractNumId w:val="5"/>
  </w:num>
  <w:num w:numId="10" w16cid:durableId="486674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503E0"/>
    <w:rsid w:val="000769B6"/>
    <w:rsid w:val="000934DB"/>
    <w:rsid w:val="000D6449"/>
    <w:rsid w:val="001266C0"/>
    <w:rsid w:val="00130536"/>
    <w:rsid w:val="00132C0D"/>
    <w:rsid w:val="00150151"/>
    <w:rsid w:val="001576C6"/>
    <w:rsid w:val="00162886"/>
    <w:rsid w:val="00166B27"/>
    <w:rsid w:val="0017638F"/>
    <w:rsid w:val="00182EA0"/>
    <w:rsid w:val="00185913"/>
    <w:rsid w:val="001B2BEF"/>
    <w:rsid w:val="001B52DF"/>
    <w:rsid w:val="001B5511"/>
    <w:rsid w:val="001D71A7"/>
    <w:rsid w:val="001E5340"/>
    <w:rsid w:val="002006A1"/>
    <w:rsid w:val="00216272"/>
    <w:rsid w:val="00227808"/>
    <w:rsid w:val="00241528"/>
    <w:rsid w:val="00260AA8"/>
    <w:rsid w:val="00271096"/>
    <w:rsid w:val="00283C51"/>
    <w:rsid w:val="00290696"/>
    <w:rsid w:val="00296F3B"/>
    <w:rsid w:val="002A54CA"/>
    <w:rsid w:val="002B0B2B"/>
    <w:rsid w:val="002B76E9"/>
    <w:rsid w:val="002C3A76"/>
    <w:rsid w:val="002C6136"/>
    <w:rsid w:val="002D1531"/>
    <w:rsid w:val="003076FC"/>
    <w:rsid w:val="00312885"/>
    <w:rsid w:val="00316AA2"/>
    <w:rsid w:val="003206E5"/>
    <w:rsid w:val="00334609"/>
    <w:rsid w:val="0037570A"/>
    <w:rsid w:val="0039384F"/>
    <w:rsid w:val="003B5A50"/>
    <w:rsid w:val="003B71E8"/>
    <w:rsid w:val="003C7690"/>
    <w:rsid w:val="003E383B"/>
    <w:rsid w:val="003F4AED"/>
    <w:rsid w:val="00405415"/>
    <w:rsid w:val="00406B3B"/>
    <w:rsid w:val="00411B7D"/>
    <w:rsid w:val="00426844"/>
    <w:rsid w:val="00470786"/>
    <w:rsid w:val="00471F92"/>
    <w:rsid w:val="00482326"/>
    <w:rsid w:val="004834D4"/>
    <w:rsid w:val="00491D9D"/>
    <w:rsid w:val="00492098"/>
    <w:rsid w:val="004938B0"/>
    <w:rsid w:val="004D7DB2"/>
    <w:rsid w:val="004F53A0"/>
    <w:rsid w:val="00500696"/>
    <w:rsid w:val="0050582C"/>
    <w:rsid w:val="005321A2"/>
    <w:rsid w:val="00544AD5"/>
    <w:rsid w:val="00547654"/>
    <w:rsid w:val="00551CA0"/>
    <w:rsid w:val="005542CF"/>
    <w:rsid w:val="0056321C"/>
    <w:rsid w:val="005B2A95"/>
    <w:rsid w:val="005B6E23"/>
    <w:rsid w:val="005D031A"/>
    <w:rsid w:val="005D7124"/>
    <w:rsid w:val="005D7254"/>
    <w:rsid w:val="00601A22"/>
    <w:rsid w:val="00603E62"/>
    <w:rsid w:val="00640079"/>
    <w:rsid w:val="00650319"/>
    <w:rsid w:val="00662DA6"/>
    <w:rsid w:val="0067277D"/>
    <w:rsid w:val="00707D3D"/>
    <w:rsid w:val="007355C1"/>
    <w:rsid w:val="007454E4"/>
    <w:rsid w:val="007761A6"/>
    <w:rsid w:val="00777F73"/>
    <w:rsid w:val="0078100F"/>
    <w:rsid w:val="007831CF"/>
    <w:rsid w:val="0078724B"/>
    <w:rsid w:val="007B4BEC"/>
    <w:rsid w:val="007C2529"/>
    <w:rsid w:val="007C2ADB"/>
    <w:rsid w:val="007C7A66"/>
    <w:rsid w:val="007E0AFC"/>
    <w:rsid w:val="007F4CBB"/>
    <w:rsid w:val="008218A8"/>
    <w:rsid w:val="00824906"/>
    <w:rsid w:val="008335CB"/>
    <w:rsid w:val="00860C1C"/>
    <w:rsid w:val="00872332"/>
    <w:rsid w:val="00883D68"/>
    <w:rsid w:val="008843CB"/>
    <w:rsid w:val="008A3787"/>
    <w:rsid w:val="008C2A01"/>
    <w:rsid w:val="008E7B34"/>
    <w:rsid w:val="00955956"/>
    <w:rsid w:val="009572C4"/>
    <w:rsid w:val="00963093"/>
    <w:rsid w:val="009813A8"/>
    <w:rsid w:val="0098667B"/>
    <w:rsid w:val="00991A1D"/>
    <w:rsid w:val="009B308D"/>
    <w:rsid w:val="009D5C18"/>
    <w:rsid w:val="009E0691"/>
    <w:rsid w:val="00A0105F"/>
    <w:rsid w:val="00A06BCD"/>
    <w:rsid w:val="00A32750"/>
    <w:rsid w:val="00A35678"/>
    <w:rsid w:val="00A545B1"/>
    <w:rsid w:val="00A573AF"/>
    <w:rsid w:val="00AA1954"/>
    <w:rsid w:val="00AA33B2"/>
    <w:rsid w:val="00AB2C60"/>
    <w:rsid w:val="00AB32D7"/>
    <w:rsid w:val="00AE3529"/>
    <w:rsid w:val="00AE6FDF"/>
    <w:rsid w:val="00AE7351"/>
    <w:rsid w:val="00B03A64"/>
    <w:rsid w:val="00B14CE9"/>
    <w:rsid w:val="00B20DBD"/>
    <w:rsid w:val="00B41427"/>
    <w:rsid w:val="00B41DFE"/>
    <w:rsid w:val="00B46BF9"/>
    <w:rsid w:val="00B74D10"/>
    <w:rsid w:val="00B75BB0"/>
    <w:rsid w:val="00B92CCF"/>
    <w:rsid w:val="00BD0715"/>
    <w:rsid w:val="00C127C0"/>
    <w:rsid w:val="00C2285A"/>
    <w:rsid w:val="00C320A0"/>
    <w:rsid w:val="00C335ED"/>
    <w:rsid w:val="00C34FC3"/>
    <w:rsid w:val="00C92E59"/>
    <w:rsid w:val="00CA5621"/>
    <w:rsid w:val="00CB0F6B"/>
    <w:rsid w:val="00CB6720"/>
    <w:rsid w:val="00CD42A5"/>
    <w:rsid w:val="00D3149A"/>
    <w:rsid w:val="00D52CC6"/>
    <w:rsid w:val="00D7328B"/>
    <w:rsid w:val="00D75CEE"/>
    <w:rsid w:val="00D91E47"/>
    <w:rsid w:val="00D970B3"/>
    <w:rsid w:val="00DA7268"/>
    <w:rsid w:val="00DB7334"/>
    <w:rsid w:val="00DC13F2"/>
    <w:rsid w:val="00DC2CE9"/>
    <w:rsid w:val="00DD263A"/>
    <w:rsid w:val="00DE1526"/>
    <w:rsid w:val="00DE5EAE"/>
    <w:rsid w:val="00DF3E5A"/>
    <w:rsid w:val="00DF6DB3"/>
    <w:rsid w:val="00E0421D"/>
    <w:rsid w:val="00E44BF5"/>
    <w:rsid w:val="00E46B21"/>
    <w:rsid w:val="00E658A2"/>
    <w:rsid w:val="00E7589F"/>
    <w:rsid w:val="00E86A6B"/>
    <w:rsid w:val="00E91F43"/>
    <w:rsid w:val="00EB3F17"/>
    <w:rsid w:val="00EC7D6F"/>
    <w:rsid w:val="00ED0F4D"/>
    <w:rsid w:val="00EE3310"/>
    <w:rsid w:val="00F000DE"/>
    <w:rsid w:val="00F0299D"/>
    <w:rsid w:val="00F139E5"/>
    <w:rsid w:val="00F15A75"/>
    <w:rsid w:val="00F631E3"/>
    <w:rsid w:val="00F803CA"/>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 w:type="character" w:styleId="UnresolvedMention">
    <w:name w:val="Unresolved Mention"/>
    <w:basedOn w:val="DefaultParagraphFont"/>
    <w:uiPriority w:val="99"/>
    <w:semiHidden/>
    <w:unhideWhenUsed/>
    <w:rsid w:val="00B46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bassociates.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regulatory-disclosures/cqs_ucits_remuneration_polic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kbassociates.i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12811-678C-4D5E-ABA2-5414423A840D}">
  <ds:schemaRefs>
    <ds:schemaRef ds:uri="http://schemas.microsoft.com/sharepoint/v3/contenttype/forms"/>
  </ds:schemaRefs>
</ds:datastoreItem>
</file>

<file path=customXml/itemProps3.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32</cp:revision>
  <cp:lastPrinted>2022-03-14T12:29:00Z</cp:lastPrinted>
  <dcterms:created xsi:type="dcterms:W3CDTF">2022-06-13T09:11:00Z</dcterms:created>
  <dcterms:modified xsi:type="dcterms:W3CDTF">2022-11-01T11:25:00Z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